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default" w:ascii="Arial" w:hAnsi="Arial" w:eastAsia="宋体" w:cs="Times New Roman"/>
          <w:b/>
          <w:bCs/>
          <w:sz w:val="24"/>
          <w:szCs w:val="24"/>
          <w:lang w:val="en-US" w:eastAsia="zh-CN"/>
        </w:rPr>
      </w:pPr>
      <w:bookmarkStart w:id="0" w:name="OLE_LINK6"/>
      <w:bookmarkStart w:id="1" w:name="OLE_LINK5"/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3GPP TSG-RAN WG4 Meeting #94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  <w:t>-e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ab/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R4-2000030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Times New Roman"/>
          <w:b/>
          <w:bCs/>
          <w:sz w:val="24"/>
          <w:szCs w:val="24"/>
          <w:lang w:val="en-GB"/>
        </w:rPr>
      </w:pP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  <w:t>Online</w:t>
      </w:r>
      <w:bookmarkStart w:id="6" w:name="_GoBack"/>
      <w:bookmarkEnd w:id="6"/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, 24 - 28 February, 2020</w:t>
      </w:r>
    </w:p>
    <w:bookmarkEnd w:id="0"/>
    <w:bookmarkEnd w:id="1"/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eastAsia="宋体" w:cs="Times New Roman"/>
          <w:b/>
          <w:bCs/>
          <w:sz w:val="24"/>
          <w:szCs w:val="20"/>
          <w:lang w:val="en-GB" w:eastAsia="ja-JP"/>
        </w:rPr>
      </w:pPr>
    </w:p>
    <w:p>
      <w:pPr>
        <w:tabs>
          <w:tab w:val="left" w:pos="1985"/>
        </w:tabs>
        <w:ind w:left="1985" w:hanging="1985"/>
        <w:jc w:val="both"/>
        <w:rPr>
          <w:rFonts w:ascii="Arial" w:hAnsi="Arial" w:eastAsia="Calibri" w:cs="Arial"/>
          <w:b/>
          <w:bCs/>
          <w:sz w:val="24"/>
          <w:lang w:val="en-GB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Source: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ZTE</w:t>
      </w:r>
    </w:p>
    <w:p>
      <w:pPr>
        <w:ind w:left="1985" w:hanging="1985"/>
        <w:jc w:val="both"/>
        <w:rPr>
          <w:rFonts w:ascii="Arial" w:hAnsi="Arial" w:eastAsia="Calibri" w:cs="Arial"/>
          <w:b/>
          <w:bCs/>
          <w:sz w:val="24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Title: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bookmarkStart w:id="2" w:name="_Hlk7778829"/>
      <w:r>
        <w:rPr>
          <w:rFonts w:hint="eastAsia" w:ascii="Arial" w:hAnsi="Arial" w:eastAsia="Calibri" w:cs="Arial"/>
          <w:b/>
          <w:bCs/>
          <w:sz w:val="24"/>
          <w:lang w:val="en-GB"/>
        </w:rPr>
        <w:t>Discussion on handover requirements</w:t>
      </w:r>
      <w:r>
        <w:rPr>
          <w:rFonts w:ascii="Arial" w:hAnsi="Arial" w:eastAsia="Calibri" w:cs="Arial"/>
          <w:b/>
          <w:bCs/>
          <w:sz w:val="24"/>
          <w:lang w:val="en-GB"/>
        </w:rPr>
        <w:t xml:space="preserve"> </w:t>
      </w:r>
      <w:bookmarkEnd w:id="2"/>
    </w:p>
    <w:p>
      <w:pPr>
        <w:tabs>
          <w:tab w:val="left" w:pos="1985"/>
        </w:tabs>
        <w:spacing w:after="120" w:line="240" w:lineRule="auto"/>
        <w:jc w:val="both"/>
        <w:rPr>
          <w:rFonts w:hint="default" w:ascii="Arial" w:hAnsi="Arial" w:eastAsia="宋体" w:cs="Arial"/>
          <w:b/>
          <w:bCs/>
          <w:sz w:val="24"/>
          <w:szCs w:val="20"/>
          <w:lang w:val="en-US" w:eastAsia="zh-CN"/>
        </w:rPr>
      </w:pPr>
      <w:r>
        <w:rPr>
          <w:rFonts w:ascii="Arial" w:hAnsi="Arial" w:eastAsia="MS Mincho" w:cs="Arial"/>
          <w:b/>
          <w:bCs/>
          <w:sz w:val="24"/>
          <w:szCs w:val="20"/>
        </w:rPr>
        <w:t>Agenda item:</w:t>
      </w:r>
      <w:r>
        <w:rPr>
          <w:rFonts w:ascii="Arial" w:hAnsi="Arial" w:eastAsia="MS Mincho" w:cs="Arial"/>
          <w:b/>
          <w:bCs/>
          <w:sz w:val="24"/>
          <w:szCs w:val="20"/>
        </w:rPr>
        <w:tab/>
      </w:r>
      <w:r>
        <w:rPr>
          <w:rFonts w:hint="eastAsia" w:ascii="Arial" w:hAnsi="Arial" w:eastAsia="宋体" w:cs="Arial"/>
          <w:b/>
          <w:bCs/>
          <w:sz w:val="24"/>
          <w:szCs w:val="20"/>
          <w:lang w:val="en-US" w:eastAsia="zh-CN"/>
        </w:rPr>
        <w:t>6.10.6</w:t>
      </w:r>
    </w:p>
    <w:p>
      <w:pPr>
        <w:tabs>
          <w:tab w:val="left" w:pos="1985"/>
        </w:tabs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</w:rPr>
        <w:t>Document for: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ascii="Arial" w:hAnsi="Arial" w:eastAsia="Calibri" w:cs="Arial"/>
          <w:b/>
          <w:bCs/>
          <w:sz w:val="24"/>
        </w:rPr>
        <w:t>Discussion</w:t>
      </w:r>
    </w:p>
    <w:p>
      <w:pPr>
        <w:keepNext/>
        <w:keepLines/>
        <w:pBdr>
          <w:top w:val="single" w:color="auto" w:sz="12" w:space="0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hAnsi="Arial" w:eastAsia="宋体" w:cs="Times New Roman"/>
          <w:sz w:val="36"/>
          <w:szCs w:val="20"/>
          <w:lang w:val="en-GB"/>
        </w:rPr>
      </w:pPr>
      <w:r>
        <w:rPr>
          <w:rFonts w:ascii="Arial" w:hAnsi="Arial" w:eastAsia="宋体" w:cs="Times New Roman"/>
          <w:sz w:val="36"/>
          <w:szCs w:val="20"/>
          <w:lang w:val="en-GB"/>
        </w:rPr>
        <w:t>1</w:t>
      </w:r>
      <w:r>
        <w:rPr>
          <w:rFonts w:ascii="Arial" w:hAnsi="Arial" w:eastAsia="宋体" w:cs="Times New Roman"/>
          <w:sz w:val="36"/>
          <w:szCs w:val="20"/>
          <w:lang w:val="en-GB"/>
        </w:rPr>
        <w:tab/>
      </w:r>
      <w:r>
        <w:rPr>
          <w:rFonts w:ascii="Arial" w:hAnsi="Arial" w:eastAsia="宋体" w:cs="Times New Roman"/>
          <w:sz w:val="36"/>
          <w:szCs w:val="20"/>
          <w:lang w:val="en-GB"/>
        </w:rPr>
        <w:t>Intro</w:t>
      </w:r>
      <w:r>
        <w:rPr>
          <w:rStyle w:val="32"/>
        </w:rPr>
        <w:t>ductio</w:t>
      </w:r>
      <w:r>
        <w:rPr>
          <w:rFonts w:ascii="Arial" w:hAnsi="Arial" w:eastAsia="宋体" w:cs="Times New Roman"/>
          <w:sz w:val="36"/>
          <w:szCs w:val="20"/>
          <w:lang w:val="en-GB"/>
        </w:rPr>
        <w:t>n</w:t>
      </w: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The core requirements for handover are specified in clause 6.1 in TS 38.133 [1]. There are some unclear issues remaining in the specification, and it</w:t>
      </w:r>
      <w:r>
        <w:rPr>
          <w:rFonts w:hint="default" w:eastAsia="宋体"/>
          <w:sz w:val="22"/>
          <w:szCs w:val="22"/>
          <w:lang w:val="en-US" w:eastAsia="zh-CN"/>
        </w:rPr>
        <w:t>’</w:t>
      </w:r>
      <w:r>
        <w:rPr>
          <w:rFonts w:hint="eastAsia" w:eastAsia="宋体"/>
          <w:sz w:val="22"/>
          <w:szCs w:val="22"/>
          <w:lang w:val="en-US" w:eastAsia="zh-CN"/>
        </w:rPr>
        <w:t>s our intention to discuss these issues and provide our view.</w:t>
      </w:r>
    </w:p>
    <w:p>
      <w:pPr>
        <w:pStyle w:val="29"/>
        <w:jc w:val="both"/>
        <w:rPr>
          <w:rFonts w:hint="default"/>
          <w:lang w:val="en-US" w:eastAsia="zh-CN"/>
        </w:rPr>
      </w:pPr>
      <w:r>
        <w:t>2</w:t>
      </w:r>
      <w:r>
        <w:tab/>
      </w:r>
      <w:r>
        <w:rPr>
          <w:rFonts w:hint="eastAsia"/>
          <w:lang w:val="en-US" w:eastAsia="zh-CN"/>
        </w:rPr>
        <w:t>Handover requirements</w:t>
      </w:r>
    </w:p>
    <w:p>
      <w:pPr>
        <w:rPr>
          <w:rFonts w:hint="default" w:eastAsia="宋体" w:cstheme="minorBidi"/>
          <w:sz w:val="22"/>
          <w:szCs w:val="22"/>
          <w:lang w:val="en-US" w:eastAsia="zh-CN" w:bidi="ar-SA"/>
        </w:rPr>
      </w:pPr>
      <w:r>
        <w:rPr>
          <w:rFonts w:hint="eastAsia" w:eastAsia="宋体" w:cstheme="minorBidi"/>
          <w:sz w:val="22"/>
          <w:szCs w:val="22"/>
          <w:lang w:val="en-US" w:eastAsia="zh-CN" w:bidi="ar-SA"/>
        </w:rPr>
        <w:t>The following content is copied directly from TS 38.133:</w:t>
      </w:r>
    </w:p>
    <w:tbl>
      <w:tblPr>
        <w:tblStyle w:val="24"/>
        <w:tblW w:w="93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0" w:type="dxa"/>
          </w:tcPr>
          <w:p>
            <w:pPr>
              <w:pStyle w:val="4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ko-KR"/>
              </w:rPr>
            </w:pPr>
            <w:r>
              <w:rPr>
                <w:lang w:val="en-US" w:eastAsia="ko-KR"/>
              </w:rPr>
              <w:t>6.1.1</w:t>
            </w:r>
            <w:r>
              <w:rPr>
                <w:lang w:val="en-US" w:eastAsia="ko-KR"/>
              </w:rPr>
              <w:tab/>
            </w:r>
            <w:r>
              <w:rPr>
                <w:lang w:val="en-US" w:eastAsia="ko-KR"/>
              </w:rPr>
              <w:t>NR Handover</w:t>
            </w:r>
          </w:p>
          <w:p>
            <w:pPr>
              <w:pStyle w:val="5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6.1.1.1</w:t>
            </w:r>
            <w:r>
              <w:rPr>
                <w:lang w:val="en-US" w:eastAsia="zh-CN"/>
              </w:rPr>
              <w:tab/>
            </w:r>
            <w:r>
              <w:rPr>
                <w:lang w:val="en-US" w:eastAsia="zh-CN"/>
              </w:rPr>
              <w:t>Introduction</w:t>
            </w:r>
          </w:p>
          <w:p>
            <w:pPr>
              <w:tabs>
                <w:tab w:val="left" w:pos="7200"/>
              </w:tabs>
            </w:pPr>
            <w:r>
              <w:t>The purpose of NR handover is to change the NR PCell to another NR cell. The requirements in this clause are applicable to SA NR, NE-DC and NR-DC.</w:t>
            </w:r>
          </w:p>
          <w:p>
            <w:pPr>
              <w:pStyle w:val="5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bookmarkStart w:id="3" w:name="_Toc526331610"/>
            <w:r>
              <w:rPr>
                <w:lang w:val="en-US" w:eastAsia="zh-CN"/>
              </w:rPr>
              <w:t>6.1.1.2</w:t>
            </w:r>
            <w:r>
              <w:rPr>
                <w:lang w:val="en-US" w:eastAsia="zh-CN"/>
              </w:rPr>
              <w:tab/>
            </w:r>
            <w:r>
              <w:rPr>
                <w:lang w:val="en-US" w:eastAsia="zh-CN"/>
              </w:rPr>
              <w:t>NR FR1 - NR FR1 Handover</w:t>
            </w:r>
            <w:bookmarkEnd w:id="3"/>
          </w:p>
          <w:p>
            <w:r>
              <w:t>The requirements in this clause are applicable to both intra-frequency and inter-frequency handovers from NR FR1 cell to NR FR1 cell.</w:t>
            </w:r>
          </w:p>
          <w:p>
            <w:pPr>
              <w:pStyle w:val="6"/>
            </w:pPr>
            <w:bookmarkStart w:id="4" w:name="_Toc526331611"/>
            <w:r>
              <w:t>6.1.1.2.1</w:t>
            </w:r>
            <w:r>
              <w:tab/>
            </w:r>
            <w:r>
              <w:t>Handover delay</w:t>
            </w:r>
            <w:bookmarkEnd w:id="4"/>
          </w:p>
          <w:p>
            <w:pPr>
              <w:rPr>
                <w:rFonts w:cs="v4.2.0"/>
              </w:rPr>
            </w:pPr>
            <w:r>
              <w:rPr>
                <w:rFonts w:cs="v4.2.0"/>
              </w:rPr>
              <w:t xml:space="preserve">Procedure delays for all procedures that can command a handover are specified in </w:t>
            </w:r>
            <w:r>
              <w:t>TS 38.331 [2]</w:t>
            </w:r>
            <w:r>
              <w:rPr>
                <w:rFonts w:cs="v4.2.0"/>
              </w:rPr>
              <w:t>.</w:t>
            </w:r>
          </w:p>
          <w:p>
            <w:pPr>
              <w:rPr>
                <w:rFonts w:cs="v4.2.0"/>
              </w:rPr>
            </w:pPr>
            <w:r>
              <w:rPr>
                <w:rFonts w:cs="v4.2.0"/>
              </w:rPr>
              <w:t xml:space="preserve">When the UE receives a RRC message implying handover the UE shall be ready to </w:t>
            </w:r>
            <w:r>
              <w:rPr>
                <w:rFonts w:cs="v4.2.0"/>
                <w:snapToGrid w:val="0"/>
              </w:rPr>
              <w:t>start the transmission of the new uplink PRACH channel</w:t>
            </w:r>
            <w:r>
              <w:rPr>
                <w:rFonts w:cs="v4.2.0"/>
              </w:rPr>
              <w:t xml:space="preserve"> within D</w:t>
            </w:r>
            <w:r>
              <w:rPr>
                <w:rFonts w:cs="v4.2.0"/>
                <w:vertAlign w:val="subscript"/>
              </w:rPr>
              <w:t>handover</w:t>
            </w:r>
            <w:r>
              <w:rPr>
                <w:rFonts w:cs="v4.2.0"/>
              </w:rPr>
              <w:t xml:space="preserve"> seconds from the end of the last TTI containing the RRC command.</w:t>
            </w:r>
          </w:p>
          <w:p>
            <w:pPr>
              <w:rPr>
                <w:rFonts w:cs="v4.2.0"/>
              </w:rPr>
            </w:pPr>
            <w:r>
              <w:rPr>
                <w:rFonts w:cs="v4.2.0"/>
              </w:rPr>
              <w:t>Where:</w:t>
            </w:r>
          </w:p>
          <w:p>
            <w:pPr>
              <w:rPr>
                <w:lang w:eastAsia="zh-CN"/>
              </w:rPr>
            </w:pPr>
            <w:r>
              <w:rPr>
                <w:rFonts w:cs="v4.2.0"/>
              </w:rPr>
              <w:t>D</w:t>
            </w:r>
            <w:r>
              <w:rPr>
                <w:rFonts w:cs="v4.2.0"/>
                <w:vertAlign w:val="subscript"/>
              </w:rPr>
              <w:t>handover</w:t>
            </w:r>
            <w:r>
              <w:rPr>
                <w:rFonts w:cs="v4.2.0"/>
              </w:rPr>
              <w:t xml:space="preserve"> equals the </w:t>
            </w:r>
            <w:r>
              <w:rPr>
                <w:rFonts w:eastAsia="MS Mincho" w:cs="v4.2.0"/>
              </w:rPr>
              <w:t>maximum</w:t>
            </w:r>
            <w:r>
              <w:rPr>
                <w:rFonts w:cs="v4.2.0"/>
              </w:rPr>
              <w:t xml:space="preserve"> RRC procedure delay to be defined in clause</w:t>
            </w:r>
            <w:r>
              <w:rPr>
                <w:rFonts w:cs="v4.2.0"/>
                <w:lang w:eastAsia="zh-CN"/>
              </w:rPr>
              <w:t>12</w:t>
            </w:r>
            <w:r>
              <w:rPr>
                <w:rFonts w:cs="v4.2.0"/>
              </w:rPr>
              <w:t xml:space="preserve"> in </w:t>
            </w:r>
            <w:r>
              <w:t>TS 38.331 [2]</w:t>
            </w:r>
            <w:r>
              <w:rPr>
                <w:rFonts w:cs="v4.2.0"/>
              </w:rPr>
              <w:t xml:space="preserve"> plus the interruption time stated in clause 6.1.1.2.2.</w:t>
            </w:r>
          </w:p>
        </w:tc>
      </w:tr>
    </w:tbl>
    <w:p>
      <w:pPr>
        <w:rPr>
          <w:rFonts w:hint="eastAsia" w:eastAsia="宋体" w:cstheme="minorBidi"/>
          <w:sz w:val="22"/>
          <w:szCs w:val="22"/>
          <w:lang w:val="en-US" w:eastAsia="zh-CN" w:bidi="ar-SA"/>
        </w:rPr>
      </w:pPr>
    </w:p>
    <w:p>
      <w:pPr>
        <w:rPr>
          <w:rFonts w:cs="v4.2.0"/>
          <w:sz w:val="22"/>
          <w:szCs w:val="22"/>
        </w:rPr>
      </w:pPr>
      <w:r>
        <w:rPr>
          <w:rFonts w:hint="eastAsia" w:eastAsia="宋体" w:cstheme="minorBidi"/>
          <w:b/>
          <w:bCs/>
          <w:sz w:val="22"/>
          <w:szCs w:val="22"/>
          <w:lang w:val="en-US" w:eastAsia="zh-CN" w:bidi="ar-SA"/>
        </w:rPr>
        <w:t xml:space="preserve">Observation 1: </w:t>
      </w:r>
      <w:r>
        <w:rPr>
          <w:rFonts w:hint="eastAsia" w:eastAsia="宋体" w:cstheme="minorBidi"/>
          <w:b w:val="0"/>
          <w:bCs w:val="0"/>
          <w:sz w:val="22"/>
          <w:szCs w:val="22"/>
          <w:lang w:val="en-US" w:eastAsia="zh-CN" w:bidi="ar-SA"/>
        </w:rPr>
        <w:t xml:space="preserve">For NR to NR handover, </w:t>
      </w:r>
      <w:r>
        <w:rPr>
          <w:rFonts w:cs="v4.2.0"/>
          <w:sz w:val="22"/>
          <w:szCs w:val="22"/>
        </w:rPr>
        <w:t>D</w:t>
      </w:r>
      <w:r>
        <w:rPr>
          <w:rFonts w:cs="v4.2.0"/>
          <w:sz w:val="22"/>
          <w:szCs w:val="22"/>
          <w:vertAlign w:val="subscript"/>
        </w:rPr>
        <w:t>handover</w:t>
      </w:r>
      <w:r>
        <w:rPr>
          <w:rFonts w:cs="v4.2.0"/>
          <w:sz w:val="22"/>
          <w:szCs w:val="22"/>
        </w:rPr>
        <w:t xml:space="preserve"> </w:t>
      </w:r>
      <w:r>
        <w:rPr>
          <w:rFonts w:hint="eastAsia" w:eastAsia="宋体" w:cs="v4.2.0"/>
          <w:sz w:val="22"/>
          <w:szCs w:val="22"/>
          <w:lang w:val="en-US" w:eastAsia="zh-CN"/>
        </w:rPr>
        <w:t xml:space="preserve">is defined as </w:t>
      </w:r>
      <w:r>
        <w:rPr>
          <w:rFonts w:cs="v4.2.0"/>
          <w:sz w:val="22"/>
          <w:szCs w:val="22"/>
        </w:rPr>
        <w:t xml:space="preserve">the </w:t>
      </w:r>
      <w:r>
        <w:rPr>
          <w:rFonts w:eastAsia="MS Mincho" w:cs="v4.2.0"/>
          <w:sz w:val="22"/>
          <w:szCs w:val="22"/>
        </w:rPr>
        <w:t>maximum</w:t>
      </w:r>
      <w:r>
        <w:rPr>
          <w:rFonts w:cs="v4.2.0"/>
          <w:sz w:val="22"/>
          <w:szCs w:val="22"/>
        </w:rPr>
        <w:t xml:space="preserve"> RRC procedure delay to be defined in clause</w:t>
      </w:r>
      <w:r>
        <w:rPr>
          <w:rFonts w:hint="eastAsia" w:eastAsia="宋体" w:cs="v4.2.0"/>
          <w:sz w:val="22"/>
          <w:szCs w:val="22"/>
          <w:lang w:val="en-US" w:eastAsia="zh-CN"/>
        </w:rPr>
        <w:t xml:space="preserve"> </w:t>
      </w:r>
      <w:r>
        <w:rPr>
          <w:rFonts w:cs="v4.2.0"/>
          <w:sz w:val="22"/>
          <w:szCs w:val="22"/>
          <w:lang w:eastAsia="zh-CN"/>
        </w:rPr>
        <w:t>12</w:t>
      </w:r>
      <w:r>
        <w:rPr>
          <w:rFonts w:cs="v4.2.0"/>
          <w:sz w:val="22"/>
          <w:szCs w:val="22"/>
        </w:rPr>
        <w:t xml:space="preserve"> in </w:t>
      </w:r>
      <w:r>
        <w:rPr>
          <w:sz w:val="22"/>
          <w:szCs w:val="22"/>
        </w:rPr>
        <w:t>TS 38.331 [2]</w:t>
      </w:r>
      <w:r>
        <w:rPr>
          <w:rFonts w:cs="v4.2.0"/>
          <w:sz w:val="22"/>
          <w:szCs w:val="22"/>
        </w:rPr>
        <w:t xml:space="preserve"> plus the interruption time.</w:t>
      </w:r>
    </w:p>
    <w:p>
      <w:pPr>
        <w:rPr>
          <w:rFonts w:hint="eastAsia" w:eastAsia="宋体" w:cs="v4.2.0"/>
          <w:sz w:val="22"/>
          <w:szCs w:val="22"/>
          <w:lang w:val="en-US" w:eastAsia="zh-CN"/>
        </w:rPr>
      </w:pPr>
      <w:r>
        <w:rPr>
          <w:rFonts w:hint="eastAsia" w:eastAsia="宋体" w:cs="v4.2.0"/>
          <w:sz w:val="22"/>
          <w:szCs w:val="22"/>
          <w:lang w:val="en-US" w:eastAsia="zh-CN"/>
        </w:rPr>
        <w:t>In TS 38.331, the table in clause 12 is copied below:</w:t>
      </w:r>
    </w:p>
    <w:p>
      <w:pPr>
        <w:pStyle w:val="64"/>
        <w:rPr>
          <w:lang w:val="en-GB"/>
        </w:rPr>
      </w:pPr>
      <w:r>
        <w:rPr>
          <w:lang w:val="en-GB"/>
        </w:rPr>
        <w:t>Table 12.1-1: UE performance requirements for RRC procedures for UEs</w:t>
      </w:r>
    </w:p>
    <w:tbl>
      <w:tblPr>
        <w:tblStyle w:val="23"/>
        <w:tblW w:w="1104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0"/>
        <w:gridCol w:w="2209"/>
        <w:gridCol w:w="2833"/>
        <w:gridCol w:w="709"/>
        <w:gridCol w:w="20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lang w:val="en-GB" w:eastAsia="ja-JP"/>
              </w:rPr>
            </w:pPr>
            <w:r>
              <w:rPr>
                <w:lang w:val="en-GB" w:eastAsia="ja-JP"/>
              </w:rPr>
              <w:t>Procedure title:</w:t>
            </w:r>
          </w:p>
        </w:tc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lang w:val="en-GB" w:eastAsia="ja-JP"/>
              </w:rPr>
            </w:pPr>
            <w:r>
              <w:rPr>
                <w:lang w:val="en-GB" w:eastAsia="ja-JP"/>
              </w:rPr>
              <w:t>Network -&gt; UE</w:t>
            </w:r>
          </w:p>
        </w:tc>
        <w:tc>
          <w:tcPr>
            <w:tcW w:w="2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lang w:val="en-GB" w:eastAsia="ja-JP"/>
              </w:rPr>
            </w:pPr>
            <w:r>
              <w:rPr>
                <w:lang w:val="en-GB" w:eastAsia="ja-JP"/>
              </w:rPr>
              <w:t>UE -&gt; Network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lang w:val="en-GB" w:eastAsia="ja-JP"/>
              </w:rPr>
            </w:pPr>
            <w:r>
              <w:rPr>
                <w:lang w:val="en-GB" w:eastAsia="ja-JP"/>
              </w:rPr>
              <w:t>Value [ms]</w:t>
            </w: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lang w:val="en-GB" w:eastAsia="ja-JP"/>
              </w:rPr>
            </w:pPr>
            <w:r>
              <w:rPr>
                <w:lang w:val="en-GB" w:eastAsia="ja-JP"/>
              </w:rPr>
              <w:t>Notes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lang w:val="en-GB" w:eastAsia="en-GB"/>
              </w:rPr>
            </w:pPr>
            <w:r>
              <w:rPr>
                <w:b/>
                <w:lang w:val="en-GB" w:eastAsia="en-GB"/>
              </w:rPr>
              <w:t>RRC Connection Control Procedures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lang w:val="en-GB" w:eastAsia="en-GB"/>
              </w:rPr>
            </w:pPr>
            <w:r>
              <w:rPr>
                <w:lang w:val="en-GB" w:eastAsia="en-GB"/>
              </w:rPr>
              <w:t>RRC reconfiguration</w:t>
            </w:r>
          </w:p>
          <w:p>
            <w:pPr>
              <w:pStyle w:val="49"/>
              <w:rPr>
                <w:lang w:val="en-GB" w:eastAsia="en-GB"/>
              </w:rPr>
            </w:pPr>
          </w:p>
        </w:tc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i/>
                <w:lang w:val="en-GB" w:eastAsia="en-GB"/>
              </w:rPr>
            </w:pPr>
            <w:r>
              <w:rPr>
                <w:rFonts w:cs="Arial"/>
                <w:i/>
                <w:szCs w:val="18"/>
                <w:lang w:val="en-GB" w:eastAsia="ja-JP"/>
              </w:rPr>
              <w:t>RRCReconfiguration</w:t>
            </w:r>
          </w:p>
        </w:tc>
        <w:tc>
          <w:tcPr>
            <w:tcW w:w="2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i/>
                <w:lang w:val="en-GB" w:eastAsia="en-GB"/>
              </w:rPr>
            </w:pPr>
            <w:r>
              <w:rPr>
                <w:i/>
                <w:lang w:val="en-GB" w:eastAsia="en-GB"/>
              </w:rPr>
              <w:t>RRCReconfigurationComplete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lang w:val="en-GB" w:eastAsia="en-GB"/>
              </w:rPr>
            </w:pPr>
            <w:r>
              <w:rPr>
                <w:lang w:val="en-GB" w:eastAsia="en-GB"/>
              </w:rPr>
              <w:t>10</w:t>
            </w: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lang w:val="en-GB" w:eastAsia="en-GB"/>
              </w:rPr>
            </w:pPr>
            <w:r>
              <w:rPr>
                <w:lang w:val="en-GB" w:eastAsia="en-GB"/>
              </w:rPr>
              <w:t>RRC reconfiguration (scell addition/release)</w:t>
            </w:r>
          </w:p>
        </w:tc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rFonts w:cs="Arial"/>
                <w:i/>
                <w:szCs w:val="18"/>
                <w:lang w:val="en-GB" w:eastAsia="ja-JP"/>
              </w:rPr>
            </w:pPr>
            <w:r>
              <w:rPr>
                <w:rFonts w:cs="Arial"/>
                <w:i/>
                <w:szCs w:val="18"/>
                <w:lang w:val="en-GB" w:eastAsia="ja-JP"/>
              </w:rPr>
              <w:t>RRCReconfiguration</w:t>
            </w:r>
          </w:p>
        </w:tc>
        <w:tc>
          <w:tcPr>
            <w:tcW w:w="2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i/>
                <w:lang w:val="en-GB" w:eastAsia="en-GB"/>
              </w:rPr>
            </w:pPr>
            <w:r>
              <w:rPr>
                <w:i/>
                <w:lang w:val="en-GB" w:eastAsia="en-GB"/>
              </w:rPr>
              <w:t>RRCReconfigurationComplete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lang w:val="en-GB" w:eastAsia="en-GB"/>
              </w:rPr>
            </w:pPr>
            <w:r>
              <w:rPr>
                <w:lang w:val="en-GB" w:eastAsia="en-GB"/>
              </w:rPr>
              <w:t>16</w:t>
            </w: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lang w:val="en-GB" w:eastAsia="en-GB"/>
              </w:rPr>
            </w:pPr>
            <w:r>
              <w:rPr>
                <w:lang w:val="en-GB" w:eastAsia="en-GB"/>
              </w:rPr>
              <w:t>RRC reconfiguration (SCG establishment/ modification/ release)</w:t>
            </w:r>
          </w:p>
        </w:tc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rFonts w:cs="Arial"/>
                <w:i/>
                <w:szCs w:val="18"/>
                <w:lang w:val="en-GB" w:eastAsia="ja-JP"/>
              </w:rPr>
            </w:pPr>
            <w:r>
              <w:rPr>
                <w:rFonts w:cs="Arial"/>
                <w:i/>
                <w:szCs w:val="18"/>
                <w:lang w:val="en-GB" w:eastAsia="ja-JP"/>
              </w:rPr>
              <w:t>RRCReconfiguration</w:t>
            </w:r>
          </w:p>
        </w:tc>
        <w:tc>
          <w:tcPr>
            <w:tcW w:w="2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i/>
                <w:lang w:val="en-GB" w:eastAsia="en-GB"/>
              </w:rPr>
            </w:pPr>
            <w:r>
              <w:rPr>
                <w:i/>
                <w:lang w:val="en-GB" w:eastAsia="en-GB"/>
              </w:rPr>
              <w:t>RRCReconfigurationComplete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lang w:val="en-GB" w:eastAsia="en-GB"/>
              </w:rPr>
            </w:pPr>
            <w:r>
              <w:rPr>
                <w:lang w:val="en-GB" w:eastAsia="en-GB"/>
              </w:rPr>
              <w:t>16</w:t>
            </w: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lang w:val="en-GB" w:eastAsia="en-GB"/>
              </w:rPr>
            </w:pPr>
            <w:r>
              <w:rPr>
                <w:lang w:val="en-GB" w:eastAsia="en-GB"/>
              </w:rPr>
              <w:t>RRC setup</w:t>
            </w:r>
          </w:p>
        </w:tc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rFonts w:cs="Arial"/>
                <w:i/>
                <w:szCs w:val="18"/>
                <w:lang w:val="en-GB" w:eastAsia="ja-JP"/>
              </w:rPr>
            </w:pPr>
            <w:r>
              <w:rPr>
                <w:rFonts w:cs="Arial"/>
                <w:i/>
                <w:szCs w:val="18"/>
                <w:lang w:val="en-GB" w:eastAsia="ja-JP"/>
              </w:rPr>
              <w:t>RRCSetup</w:t>
            </w:r>
          </w:p>
        </w:tc>
        <w:tc>
          <w:tcPr>
            <w:tcW w:w="2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i/>
                <w:lang w:val="en-GB" w:eastAsia="en-GB"/>
              </w:rPr>
            </w:pPr>
            <w:r>
              <w:rPr>
                <w:rFonts w:cs="Arial"/>
                <w:i/>
                <w:szCs w:val="18"/>
                <w:lang w:val="en-GB" w:eastAsia="ja-JP"/>
              </w:rPr>
              <w:t>RRCSetupComplete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lang w:val="en-GB" w:eastAsia="en-GB"/>
              </w:rPr>
            </w:pPr>
            <w:r>
              <w:rPr>
                <w:lang w:val="en-GB" w:eastAsia="en-GB"/>
              </w:rPr>
              <w:t>10</w:t>
            </w: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lang w:val="en-GB" w:eastAsia="en-GB"/>
              </w:rPr>
            </w:pPr>
            <w:r>
              <w:rPr>
                <w:lang w:val="en-GB" w:eastAsia="en-GB"/>
              </w:rPr>
              <w:t>RRC Release</w:t>
            </w:r>
          </w:p>
        </w:tc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rFonts w:cs="Arial"/>
                <w:i/>
                <w:szCs w:val="18"/>
                <w:lang w:val="en-GB" w:eastAsia="ja-JP"/>
              </w:rPr>
            </w:pPr>
            <w:r>
              <w:rPr>
                <w:rFonts w:cs="Arial"/>
                <w:i/>
                <w:szCs w:val="18"/>
                <w:lang w:val="en-GB" w:eastAsia="ja-JP"/>
              </w:rPr>
              <w:t>RRCRelease</w:t>
            </w:r>
          </w:p>
        </w:tc>
        <w:tc>
          <w:tcPr>
            <w:tcW w:w="2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i/>
                <w:lang w:val="en-GB" w:eastAsia="en-GB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lang w:val="en-GB" w:eastAsia="en-GB"/>
              </w:rPr>
            </w:pPr>
            <w:r>
              <w:rPr>
                <w:lang w:val="en-GB" w:eastAsia="en-GB"/>
              </w:rPr>
              <w:t>NA</w:t>
            </w: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lang w:val="en-GB" w:eastAsia="en-GB"/>
              </w:rPr>
            </w:pPr>
            <w:r>
              <w:rPr>
                <w:lang w:val="en-GB" w:eastAsia="en-GB"/>
              </w:rPr>
              <w:t>RRC re-establishment</w:t>
            </w:r>
          </w:p>
        </w:tc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rFonts w:cs="Arial"/>
                <w:i/>
                <w:szCs w:val="18"/>
                <w:lang w:val="en-GB" w:eastAsia="ja-JP"/>
              </w:rPr>
            </w:pPr>
            <w:r>
              <w:rPr>
                <w:rFonts w:cs="Arial"/>
                <w:i/>
                <w:szCs w:val="18"/>
                <w:lang w:val="en-GB" w:eastAsia="ja-JP"/>
              </w:rPr>
              <w:t>RRCReestablishment</w:t>
            </w:r>
          </w:p>
        </w:tc>
        <w:tc>
          <w:tcPr>
            <w:tcW w:w="2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i/>
                <w:lang w:val="en-GB" w:eastAsia="en-GB"/>
              </w:rPr>
            </w:pPr>
            <w:r>
              <w:rPr>
                <w:rFonts w:cs="Arial"/>
                <w:i/>
                <w:szCs w:val="18"/>
                <w:lang w:val="en-GB" w:eastAsia="ja-JP"/>
              </w:rPr>
              <w:t>RRCReestablishmentComplete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lang w:val="en-GB" w:eastAsia="en-GB"/>
              </w:rPr>
            </w:pPr>
            <w:r>
              <w:rPr>
                <w:lang w:val="en-GB" w:eastAsia="en-GB"/>
              </w:rPr>
              <w:t>10</w:t>
            </w: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lang w:val="en-GB" w:eastAsia="en-GB"/>
              </w:rPr>
            </w:pPr>
            <w:r>
              <w:rPr>
                <w:lang w:val="en-GB" w:eastAsia="en-GB"/>
              </w:rPr>
              <w:t>RRC resume</w:t>
            </w:r>
          </w:p>
        </w:tc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rFonts w:cs="Arial"/>
                <w:i/>
                <w:szCs w:val="18"/>
                <w:lang w:val="en-GB" w:eastAsia="ja-JP"/>
              </w:rPr>
            </w:pPr>
            <w:r>
              <w:rPr>
                <w:rFonts w:cs="Arial"/>
                <w:i/>
                <w:szCs w:val="18"/>
                <w:lang w:val="en-GB" w:eastAsia="ja-JP"/>
              </w:rPr>
              <w:t>RRCResume</w:t>
            </w:r>
          </w:p>
        </w:tc>
        <w:tc>
          <w:tcPr>
            <w:tcW w:w="2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i/>
                <w:lang w:val="en-GB" w:eastAsia="en-GB"/>
              </w:rPr>
            </w:pPr>
            <w:r>
              <w:rPr>
                <w:rFonts w:cs="Arial"/>
                <w:i/>
                <w:szCs w:val="18"/>
                <w:lang w:val="en-GB" w:eastAsia="ja-JP"/>
              </w:rPr>
              <w:t>RRCResumeComplete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lang w:val="en-GB" w:eastAsia="en-GB"/>
              </w:rPr>
            </w:pPr>
            <w:r>
              <w:rPr>
                <w:lang w:val="en-GB" w:eastAsia="en-GB"/>
              </w:rPr>
              <w:t>6 or 10</w:t>
            </w: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 xml:space="preserve">Value=6 applies for a UE supporting reduced CP latency for the case of </w:t>
            </w:r>
            <w:r>
              <w:rPr>
                <w:rFonts w:eastAsia="宋体"/>
                <w:lang w:val="en-GB"/>
              </w:rPr>
              <w:t>RRCResume</w:t>
            </w:r>
            <w:r>
              <w:rPr>
                <w:rFonts w:eastAsia="宋体"/>
                <w:lang w:val="en-GB" w:eastAsia="zh-CN"/>
              </w:rPr>
              <w:t xml:space="preserve"> message only including MAC and PHY configuration, and no DRX, SPS, configured grant, CA or MIMO re-configuration will be triggered by this message. Further, the UL grant for transmission of </w:t>
            </w:r>
            <w:r>
              <w:rPr>
                <w:rFonts w:eastAsia="宋体"/>
                <w:i/>
                <w:lang w:val="en-GB" w:eastAsia="zh-CN"/>
              </w:rPr>
              <w:t>RRCResumeComplete</w:t>
            </w:r>
            <w:r>
              <w:rPr>
                <w:rFonts w:eastAsia="宋体"/>
                <w:lang w:val="en-GB" w:eastAsia="zh-CN"/>
              </w:rPr>
              <w:t xml:space="preserve"> and the data is transmitted over common search space with DCI format 0_0.</w:t>
            </w:r>
          </w:p>
          <w:p>
            <w:pPr>
              <w:pStyle w:val="49"/>
              <w:rPr>
                <w:lang w:val="en-GB"/>
              </w:rPr>
            </w:pPr>
            <w:r>
              <w:rPr>
                <w:lang w:val="en-GB"/>
              </w:rPr>
              <w:t>In this scenario, the RRC procedure delay [ms] can extend beyond the reception of the UL grant, up to 7 ms.</w:t>
            </w:r>
          </w:p>
          <w:p>
            <w:pPr>
              <w:pStyle w:val="49"/>
              <w:rPr>
                <w:lang w:val="en-GB"/>
              </w:rPr>
            </w:pPr>
          </w:p>
          <w:p>
            <w:pPr>
              <w:pStyle w:val="49"/>
              <w:rPr>
                <w:lang w:val="en-GB" w:eastAsia="en-GB"/>
              </w:rPr>
            </w:pPr>
            <w:r>
              <w:rPr>
                <w:lang w:val="en-GB"/>
              </w:rPr>
              <w:t>For other cases, Value = 10 applies.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lang w:val="en-GB" w:eastAsia="en-GB"/>
              </w:rPr>
            </w:pPr>
            <w:r>
              <w:rPr>
                <w:lang w:val="en-GB" w:eastAsia="en-GB"/>
              </w:rPr>
              <w:t>RRC resume (scell addition)</w:t>
            </w:r>
          </w:p>
        </w:tc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rFonts w:cs="Arial"/>
                <w:i/>
                <w:szCs w:val="18"/>
                <w:lang w:val="en-GB" w:eastAsia="ja-JP"/>
              </w:rPr>
            </w:pPr>
            <w:r>
              <w:rPr>
                <w:rFonts w:cs="Arial"/>
                <w:i/>
                <w:szCs w:val="18"/>
                <w:lang w:val="en-GB" w:eastAsia="ja-JP"/>
              </w:rPr>
              <w:t>RRCResume</w:t>
            </w:r>
          </w:p>
        </w:tc>
        <w:tc>
          <w:tcPr>
            <w:tcW w:w="2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i/>
                <w:lang w:val="en-GB" w:eastAsia="en-GB"/>
              </w:rPr>
            </w:pPr>
            <w:r>
              <w:rPr>
                <w:rFonts w:cs="Arial"/>
                <w:i/>
                <w:szCs w:val="18"/>
                <w:lang w:val="en-GB" w:eastAsia="ja-JP"/>
              </w:rPr>
              <w:t>RRCResumeComplete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lang w:val="en-GB" w:eastAsia="en-GB"/>
              </w:rPr>
            </w:pPr>
            <w:r>
              <w:rPr>
                <w:lang w:val="en-GB" w:eastAsia="en-GB"/>
              </w:rPr>
              <w:t>16</w:t>
            </w: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Initial </w:t>
            </w:r>
            <w:r>
              <w:rPr>
                <w:lang w:val="en-GB"/>
              </w:rPr>
              <w:t xml:space="preserve">AS </w:t>
            </w:r>
            <w:r>
              <w:rPr>
                <w:lang w:val="en-GB" w:eastAsia="en-GB"/>
              </w:rPr>
              <w:t>security activation</w:t>
            </w:r>
          </w:p>
        </w:tc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rFonts w:cs="Arial"/>
                <w:i/>
                <w:szCs w:val="18"/>
                <w:lang w:val="en-GB" w:eastAsia="ja-JP"/>
              </w:rPr>
            </w:pPr>
            <w:r>
              <w:rPr>
                <w:i/>
                <w:lang w:val="en-GB" w:eastAsia="en-GB"/>
              </w:rPr>
              <w:t>SecurityModeCommand</w:t>
            </w:r>
          </w:p>
        </w:tc>
        <w:tc>
          <w:tcPr>
            <w:tcW w:w="2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i/>
                <w:lang w:val="en-GB" w:eastAsia="en-GB"/>
              </w:rPr>
            </w:pPr>
            <w:r>
              <w:rPr>
                <w:i/>
                <w:lang w:val="en-GB" w:eastAsia="en-GB"/>
              </w:rPr>
              <w:t>SecurityModeComplete/SecurityModeFailure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lang w:val="en-GB" w:eastAsia="en-GB"/>
              </w:rPr>
            </w:pPr>
            <w:r>
              <w:rPr>
                <w:lang w:val="en-GB" w:eastAsia="en-GB"/>
              </w:rPr>
              <w:t>5</w:t>
            </w: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lang w:val="en-GB" w:eastAsia="en-GB"/>
              </w:rPr>
            </w:pPr>
            <w:r>
              <w:rPr>
                <w:lang w:val="en-GB" w:eastAsia="en-GB"/>
              </w:rPr>
              <w:t>Other procedures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lang w:val="en-GB" w:eastAsia="en-GB"/>
              </w:rPr>
            </w:pPr>
            <w:r>
              <w:rPr>
                <w:lang w:val="en-GB" w:eastAsia="en-GB"/>
              </w:rPr>
              <w:t>UE assistance information</w:t>
            </w:r>
          </w:p>
        </w:tc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rFonts w:cs="Arial"/>
                <w:i/>
                <w:szCs w:val="18"/>
                <w:lang w:val="en-GB" w:eastAsia="ja-JP"/>
              </w:rPr>
            </w:pPr>
          </w:p>
        </w:tc>
        <w:tc>
          <w:tcPr>
            <w:tcW w:w="2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i/>
                <w:lang w:val="en-GB" w:eastAsia="en-GB"/>
              </w:rPr>
            </w:pPr>
            <w:r>
              <w:rPr>
                <w:i/>
                <w:lang w:val="en-GB" w:eastAsia="en-GB"/>
              </w:rPr>
              <w:t>UEAssistanceInformation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lang w:val="en-GB" w:eastAsia="en-GB"/>
              </w:rPr>
            </w:pPr>
            <w:r>
              <w:rPr>
                <w:lang w:val="en-GB" w:eastAsia="zh-CN"/>
              </w:rPr>
              <w:t>NA</w:t>
            </w: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lang w:val="en-GB" w:eastAsia="en-GB"/>
              </w:rPr>
            </w:pPr>
            <w:r>
              <w:rPr>
                <w:lang w:val="en-GB" w:eastAsia="en-GB"/>
              </w:rPr>
              <w:t>UE capability transfer</w:t>
            </w:r>
          </w:p>
        </w:tc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rFonts w:cs="Arial"/>
                <w:i/>
                <w:szCs w:val="18"/>
                <w:lang w:val="en-GB" w:eastAsia="ja-JP"/>
              </w:rPr>
            </w:pPr>
            <w:r>
              <w:rPr>
                <w:i/>
                <w:lang w:val="en-GB" w:eastAsia="en-GB"/>
              </w:rPr>
              <w:t>UECapabilityEnquiry</w:t>
            </w:r>
          </w:p>
        </w:tc>
        <w:tc>
          <w:tcPr>
            <w:tcW w:w="2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i/>
                <w:lang w:val="en-GB" w:eastAsia="en-GB"/>
              </w:rPr>
            </w:pPr>
            <w:r>
              <w:rPr>
                <w:i/>
                <w:lang w:val="en-GB" w:eastAsia="en-GB"/>
              </w:rPr>
              <w:t>UECapabilityInformation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lang w:val="en-GB" w:eastAsia="zh-CN"/>
              </w:rPr>
            </w:pPr>
            <w:r>
              <w:rPr>
                <w:rFonts w:cs="Arial"/>
                <w:lang w:val="en-GB" w:eastAsia="zh-CN"/>
              </w:rPr>
              <w:t>80</w:t>
            </w: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lang w:val="en-GB" w:eastAsia="en-GB"/>
              </w:rPr>
            </w:pPr>
            <w:r>
              <w:rPr>
                <w:lang w:val="en-GB" w:eastAsia="en-GB"/>
              </w:rPr>
              <w:t>Counter check</w:t>
            </w:r>
          </w:p>
        </w:tc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rFonts w:cs="Arial"/>
                <w:i/>
                <w:szCs w:val="18"/>
                <w:lang w:val="en-GB" w:eastAsia="ja-JP"/>
              </w:rPr>
            </w:pPr>
            <w:r>
              <w:rPr>
                <w:i/>
                <w:lang w:val="en-GB" w:eastAsia="en-GB"/>
              </w:rPr>
              <w:t>CounterCheck</w:t>
            </w:r>
          </w:p>
        </w:tc>
        <w:tc>
          <w:tcPr>
            <w:tcW w:w="2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i/>
                <w:lang w:val="en-GB" w:eastAsia="en-GB"/>
              </w:rPr>
            </w:pPr>
            <w:r>
              <w:rPr>
                <w:i/>
                <w:lang w:val="en-GB" w:eastAsia="en-GB"/>
              </w:rPr>
              <w:t>CounterCheckResponse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lang w:val="en-GB" w:eastAsia="zh-CN"/>
              </w:rPr>
            </w:pPr>
            <w:r>
              <w:rPr>
                <w:lang w:val="en-GB" w:eastAsia="en-GB"/>
              </w:rPr>
              <w:t>5</w:t>
            </w: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lang w:val="en-GB" w:eastAsia="en-GB"/>
              </w:rPr>
            </w:pPr>
          </w:p>
        </w:tc>
      </w:tr>
    </w:tbl>
    <w:p>
      <w:pPr>
        <w:rPr>
          <w:rFonts w:hint="default" w:eastAsia="宋体" w:cs="v4.2.0"/>
          <w:sz w:val="22"/>
          <w:szCs w:val="22"/>
          <w:lang w:val="en-US" w:eastAsia="zh-CN"/>
        </w:rPr>
      </w:pPr>
    </w:p>
    <w:p>
      <w:pPr>
        <w:rPr>
          <w:rFonts w:hint="eastAsia" w:eastAsia="宋体" w:cs="v4.2.0"/>
          <w:sz w:val="22"/>
          <w:szCs w:val="22"/>
          <w:lang w:val="en-US" w:eastAsia="zh-CN"/>
        </w:rPr>
      </w:pPr>
      <w:r>
        <w:rPr>
          <w:rFonts w:hint="eastAsia" w:eastAsia="宋体" w:cs="v4.2.0"/>
          <w:sz w:val="22"/>
          <w:szCs w:val="22"/>
          <w:lang w:val="en-US" w:eastAsia="zh-CN"/>
        </w:rPr>
        <w:t xml:space="preserve">According to the table, </w:t>
      </w:r>
      <w:r>
        <w:rPr>
          <w:rFonts w:cs="v4.2.0"/>
          <w:sz w:val="22"/>
          <w:szCs w:val="22"/>
        </w:rPr>
        <w:t xml:space="preserve">the </w:t>
      </w:r>
      <w:r>
        <w:rPr>
          <w:rFonts w:eastAsia="MS Mincho" w:cs="v4.2.0"/>
          <w:sz w:val="22"/>
          <w:szCs w:val="22"/>
        </w:rPr>
        <w:t>maximum</w:t>
      </w:r>
      <w:r>
        <w:rPr>
          <w:rFonts w:cs="v4.2.0"/>
          <w:sz w:val="22"/>
          <w:szCs w:val="22"/>
        </w:rPr>
        <w:t xml:space="preserve"> RRC procedure delay</w:t>
      </w:r>
      <w:r>
        <w:rPr>
          <w:rFonts w:hint="eastAsia" w:eastAsia="宋体" w:cs="v4.2.0"/>
          <w:sz w:val="22"/>
          <w:szCs w:val="22"/>
          <w:lang w:val="en-US" w:eastAsia="zh-CN"/>
        </w:rPr>
        <w:t xml:space="preserve"> is 80ms, for UE capability transfer, which is irrelevant to handover process. The intention of the statement should be </w:t>
      </w:r>
      <w:r>
        <w:rPr>
          <w:rFonts w:hint="default" w:eastAsia="宋体" w:cs="v4.2.0"/>
          <w:sz w:val="22"/>
          <w:szCs w:val="22"/>
          <w:lang w:val="en-US" w:eastAsia="zh-CN"/>
        </w:rPr>
        <w:t>“</w:t>
      </w:r>
      <w:r>
        <w:rPr>
          <w:rFonts w:cs="v4.2.0"/>
          <w:sz w:val="22"/>
          <w:szCs w:val="22"/>
        </w:rPr>
        <w:t xml:space="preserve">the </w:t>
      </w:r>
      <w:r>
        <w:rPr>
          <w:rFonts w:eastAsia="MS Mincho" w:cs="v4.2.0"/>
          <w:sz w:val="22"/>
          <w:szCs w:val="22"/>
        </w:rPr>
        <w:t>maximum</w:t>
      </w:r>
      <w:r>
        <w:rPr>
          <w:rFonts w:cs="v4.2.0"/>
          <w:sz w:val="22"/>
          <w:szCs w:val="22"/>
        </w:rPr>
        <w:t xml:space="preserve"> RRC procedure delay</w:t>
      </w:r>
      <w:r>
        <w:rPr>
          <w:rFonts w:hint="eastAsia" w:eastAsia="宋体" w:cs="v4.2.0"/>
          <w:sz w:val="22"/>
          <w:szCs w:val="22"/>
          <w:lang w:val="en-US" w:eastAsia="zh-CN"/>
        </w:rPr>
        <w:t xml:space="preserve"> for procedures which can trigger a NR to NR handover</w:t>
      </w:r>
      <w:r>
        <w:rPr>
          <w:rFonts w:hint="default" w:eastAsia="宋体" w:cs="v4.2.0"/>
          <w:sz w:val="22"/>
          <w:szCs w:val="22"/>
          <w:lang w:val="en-US" w:eastAsia="zh-CN"/>
        </w:rPr>
        <w:t>”</w:t>
      </w:r>
      <w:r>
        <w:rPr>
          <w:rFonts w:hint="eastAsia" w:eastAsia="宋体" w:cs="v4.2.0"/>
          <w:sz w:val="22"/>
          <w:szCs w:val="22"/>
          <w:lang w:val="en-US" w:eastAsia="zh-CN"/>
        </w:rPr>
        <w:t>, and as defined in TS 38.331, up to Rel-16, the only RRC command which can trigger an  NR to NR handover is RRC reconfiguration. So in this case, in 38.133, the requirement can be clarified to the following.</w:t>
      </w:r>
    </w:p>
    <w:p>
      <w:pPr>
        <w:pStyle w:val="37"/>
        <w:rPr>
          <w:rFonts w:hint="default"/>
          <w:sz w:val="22"/>
          <w:szCs w:val="22"/>
          <w:lang w:val="en-US" w:eastAsia="zh-CN"/>
        </w:rPr>
      </w:pPr>
      <w:r>
        <w:rPr>
          <w:rFonts w:hint="eastAsia" w:eastAsia="宋体" w:cstheme="minorBidi"/>
          <w:sz w:val="22"/>
          <w:szCs w:val="22"/>
          <w:lang w:val="en-US" w:eastAsia="zh-CN" w:bidi="ar-SA"/>
        </w:rPr>
        <w:t>In TS 38.133, change the requirement for NR to NR handover to:</w:t>
      </w:r>
    </w:p>
    <w:p>
      <w:pPr>
        <w:rPr>
          <w:rFonts w:cs="v4.2.0"/>
          <w:b/>
          <w:bCs/>
        </w:rPr>
      </w:pPr>
      <w:r>
        <w:rPr>
          <w:rFonts w:hint="default" w:eastAsia="宋体" w:cs="v4.2.0"/>
          <w:b/>
          <w:bCs/>
          <w:lang w:val="en-US" w:eastAsia="zh-CN"/>
        </w:rPr>
        <w:t>“</w:t>
      </w:r>
      <w:r>
        <w:rPr>
          <w:rFonts w:cs="v4.2.0"/>
          <w:b/>
          <w:bCs/>
        </w:rPr>
        <w:t xml:space="preserve">When the UE receives a RRC message implying handover the UE shall be ready to </w:t>
      </w:r>
      <w:r>
        <w:rPr>
          <w:rFonts w:cs="v4.2.0"/>
          <w:b/>
          <w:bCs/>
          <w:snapToGrid w:val="0"/>
        </w:rPr>
        <w:t>start the transmission of the new uplink PRACH channel</w:t>
      </w:r>
      <w:r>
        <w:rPr>
          <w:rFonts w:cs="v4.2.0"/>
          <w:b/>
          <w:bCs/>
        </w:rPr>
        <w:t xml:space="preserve"> within D</w:t>
      </w:r>
      <w:r>
        <w:rPr>
          <w:rFonts w:cs="v4.2.0"/>
          <w:b/>
          <w:bCs/>
          <w:vertAlign w:val="subscript"/>
        </w:rPr>
        <w:t>handover</w:t>
      </w:r>
      <w:r>
        <w:rPr>
          <w:rFonts w:cs="v4.2.0"/>
          <w:b/>
          <w:bCs/>
        </w:rPr>
        <w:t xml:space="preserve"> from the end of the last TTI containing the RRC command.</w:t>
      </w:r>
    </w:p>
    <w:p>
      <w:pPr>
        <w:rPr>
          <w:rFonts w:cs="v4.2.0"/>
          <w:b/>
          <w:bCs/>
        </w:rPr>
      </w:pPr>
      <w:r>
        <w:rPr>
          <w:rFonts w:cs="v4.2.0"/>
          <w:b/>
          <w:bCs/>
        </w:rPr>
        <w:t>Where:</w:t>
      </w:r>
    </w:p>
    <w:p>
      <w:pPr>
        <w:rPr>
          <w:rFonts w:hint="eastAsia" w:eastAsia="宋体"/>
          <w:b/>
          <w:bCs/>
          <w:lang w:val="en-US" w:eastAsia="zh-CN"/>
        </w:rPr>
      </w:pPr>
      <w:r>
        <w:rPr>
          <w:rFonts w:cs="v4.2.0"/>
          <w:b/>
          <w:bCs/>
        </w:rPr>
        <w:t>D</w:t>
      </w:r>
      <w:r>
        <w:rPr>
          <w:rFonts w:cs="v4.2.0"/>
          <w:b/>
          <w:bCs/>
          <w:vertAlign w:val="subscript"/>
        </w:rPr>
        <w:t>handover</w:t>
      </w:r>
      <w:r>
        <w:rPr>
          <w:rFonts w:cs="v4.2.0"/>
          <w:b/>
          <w:bCs/>
        </w:rPr>
        <w:t xml:space="preserve"> equals the RRC procedure delay </w:t>
      </w:r>
      <w:r>
        <w:rPr>
          <w:rFonts w:hint="eastAsia" w:eastAsia="宋体" w:cs="v4.2.0"/>
          <w:b/>
          <w:bCs/>
          <w:lang w:val="en-US" w:eastAsia="zh-CN"/>
        </w:rPr>
        <w:t>of RRC reconfiguration</w:t>
      </w:r>
      <w:r>
        <w:rPr>
          <w:rFonts w:cs="v4.2.0"/>
          <w:b/>
          <w:bCs/>
        </w:rPr>
        <w:t xml:space="preserve"> defined in clause</w:t>
      </w:r>
      <w:r>
        <w:rPr>
          <w:rFonts w:hint="eastAsia" w:eastAsia="宋体" w:cs="v4.2.0"/>
          <w:b/>
          <w:bCs/>
          <w:lang w:val="en-US" w:eastAsia="zh-CN"/>
        </w:rPr>
        <w:t xml:space="preserve"> </w:t>
      </w:r>
      <w:r>
        <w:rPr>
          <w:rFonts w:cs="v4.2.0"/>
          <w:b/>
          <w:bCs/>
          <w:lang w:eastAsia="zh-CN"/>
        </w:rPr>
        <w:t>12</w:t>
      </w:r>
      <w:r>
        <w:rPr>
          <w:rFonts w:cs="v4.2.0"/>
          <w:b/>
          <w:bCs/>
        </w:rPr>
        <w:t xml:space="preserve"> in </w:t>
      </w:r>
      <w:r>
        <w:rPr>
          <w:b/>
          <w:bCs/>
        </w:rPr>
        <w:t>TS 38.331 [2]</w:t>
      </w:r>
      <w:r>
        <w:rPr>
          <w:rFonts w:cs="v4.2.0"/>
          <w:b/>
          <w:bCs/>
        </w:rPr>
        <w:t xml:space="preserve"> plus the interruption time stated in clause 6.1.1.</w:t>
      </w:r>
      <w:r>
        <w:rPr>
          <w:rFonts w:hint="eastAsia" w:eastAsia="宋体" w:cs="v4.2.0"/>
          <w:b/>
          <w:bCs/>
          <w:lang w:val="en-US" w:eastAsia="zh-CN"/>
        </w:rPr>
        <w:t>X</w:t>
      </w:r>
      <w:r>
        <w:rPr>
          <w:rFonts w:cs="v4.2.0"/>
          <w:b/>
          <w:bCs/>
        </w:rPr>
        <w:t>.2.</w:t>
      </w:r>
      <w:r>
        <w:rPr>
          <w:rFonts w:hint="default" w:eastAsia="宋体" w:cs="v4.2.0"/>
          <w:b/>
          <w:bCs/>
          <w:lang w:val="en-US" w:eastAsia="zh-CN"/>
        </w:rPr>
        <w:t>”</w:t>
      </w:r>
    </w:p>
    <w:p>
      <w:pPr>
        <w:pStyle w:val="37"/>
        <w:rPr>
          <w:rFonts w:hint="default"/>
          <w:lang w:val="en-US" w:eastAsia="zh-CN"/>
        </w:rPr>
      </w:pPr>
      <w:r>
        <w:rPr>
          <w:rFonts w:hint="eastAsia" w:eastAsia="宋体" w:cstheme="minorBidi"/>
          <w:sz w:val="22"/>
          <w:szCs w:val="22"/>
          <w:lang w:val="en-US" w:eastAsia="zh-CN" w:bidi="ar-SA"/>
        </w:rPr>
        <w:t>Agree on CR [] which captures the above proposals.</w:t>
      </w:r>
    </w:p>
    <w:p>
      <w:pPr>
        <w:pStyle w:val="29"/>
        <w:jc w:val="both"/>
      </w:pPr>
      <w:r>
        <w:rPr>
          <w:rFonts w:hint="eastAsia"/>
          <w:lang w:val="en-US" w:eastAsia="zh-CN"/>
        </w:rPr>
        <w:t>3</w:t>
      </w:r>
      <w:r>
        <w:tab/>
      </w:r>
      <w:r>
        <w:t>Conclusion</w:t>
      </w:r>
    </w:p>
    <w:p>
      <w:pPr>
        <w:pStyle w:val="41"/>
        <w:numPr>
          <w:ilvl w:val="0"/>
          <w:numId w:val="6"/>
        </w:numPr>
        <w:rPr>
          <w:sz w:val="22"/>
          <w:szCs w:val="22"/>
        </w:rPr>
      </w:pPr>
      <w:r>
        <w:rPr>
          <w:rFonts w:hint="eastAsia" w:eastAsia="宋体" w:cstheme="minorBidi"/>
          <w:b w:val="0"/>
          <w:bCs w:val="0"/>
          <w:sz w:val="22"/>
          <w:szCs w:val="22"/>
          <w:lang w:val="en-US" w:eastAsia="zh-CN" w:bidi="ar-SA"/>
        </w:rPr>
        <w:t xml:space="preserve">For NR to NR handover, </w:t>
      </w:r>
      <w:r>
        <w:rPr>
          <w:rFonts w:cs="v4.2.0"/>
          <w:sz w:val="22"/>
          <w:szCs w:val="22"/>
        </w:rPr>
        <w:t>D</w:t>
      </w:r>
      <w:r>
        <w:rPr>
          <w:rFonts w:cs="v4.2.0"/>
          <w:sz w:val="22"/>
          <w:szCs w:val="22"/>
          <w:vertAlign w:val="subscript"/>
        </w:rPr>
        <w:t>handover</w:t>
      </w:r>
      <w:r>
        <w:rPr>
          <w:rFonts w:cs="v4.2.0"/>
          <w:sz w:val="22"/>
          <w:szCs w:val="22"/>
        </w:rPr>
        <w:t xml:space="preserve"> </w:t>
      </w:r>
      <w:r>
        <w:rPr>
          <w:rFonts w:hint="eastAsia" w:eastAsia="宋体" w:cs="v4.2.0"/>
          <w:sz w:val="22"/>
          <w:szCs w:val="22"/>
          <w:lang w:val="en-US" w:eastAsia="zh-CN"/>
        </w:rPr>
        <w:t xml:space="preserve">is defined as </w:t>
      </w:r>
      <w:r>
        <w:rPr>
          <w:rFonts w:cs="v4.2.0"/>
          <w:sz w:val="22"/>
          <w:szCs w:val="22"/>
        </w:rPr>
        <w:t xml:space="preserve">the </w:t>
      </w:r>
      <w:r>
        <w:rPr>
          <w:rFonts w:eastAsia="MS Mincho" w:cs="v4.2.0"/>
          <w:sz w:val="22"/>
          <w:szCs w:val="22"/>
        </w:rPr>
        <w:t>maximum</w:t>
      </w:r>
      <w:r>
        <w:rPr>
          <w:rFonts w:cs="v4.2.0"/>
          <w:sz w:val="22"/>
          <w:szCs w:val="22"/>
        </w:rPr>
        <w:t xml:space="preserve"> RRC procedure delay to be defined in clause</w:t>
      </w:r>
      <w:r>
        <w:rPr>
          <w:rFonts w:hint="eastAsia" w:eastAsia="宋体" w:cs="v4.2.0"/>
          <w:sz w:val="22"/>
          <w:szCs w:val="22"/>
          <w:lang w:val="en-US" w:eastAsia="zh-CN"/>
        </w:rPr>
        <w:t xml:space="preserve"> </w:t>
      </w:r>
      <w:r>
        <w:rPr>
          <w:rFonts w:cs="v4.2.0"/>
          <w:sz w:val="22"/>
          <w:szCs w:val="22"/>
          <w:lang w:eastAsia="zh-CN"/>
        </w:rPr>
        <w:t>12</w:t>
      </w:r>
      <w:r>
        <w:rPr>
          <w:rFonts w:cs="v4.2.0"/>
          <w:sz w:val="22"/>
          <w:szCs w:val="22"/>
        </w:rPr>
        <w:t xml:space="preserve"> in </w:t>
      </w:r>
      <w:r>
        <w:rPr>
          <w:sz w:val="22"/>
          <w:szCs w:val="22"/>
        </w:rPr>
        <w:t>TS 38.331 [2]</w:t>
      </w:r>
      <w:r>
        <w:rPr>
          <w:rFonts w:cs="v4.2.0"/>
          <w:sz w:val="22"/>
          <w:szCs w:val="22"/>
        </w:rPr>
        <w:t xml:space="preserve"> plus the interruption time</w:t>
      </w:r>
      <w:r>
        <w:rPr>
          <w:rFonts w:hint="eastAsia" w:eastAsia="宋体"/>
          <w:sz w:val="22"/>
          <w:szCs w:val="22"/>
          <w:lang w:val="en-US" w:eastAsia="zh-CN"/>
        </w:rPr>
        <w:t>.</w:t>
      </w:r>
    </w:p>
    <w:p>
      <w:pPr>
        <w:pStyle w:val="37"/>
        <w:numPr>
          <w:ilvl w:val="0"/>
          <w:numId w:val="0"/>
        </w:numPr>
        <w:ind w:leftChars="0"/>
        <w:rPr>
          <w:rFonts w:hint="default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 xml:space="preserve">Proposal 1: </w:t>
      </w:r>
      <w:r>
        <w:rPr>
          <w:rFonts w:hint="eastAsia" w:eastAsia="宋体" w:cstheme="minorBidi"/>
          <w:sz w:val="22"/>
          <w:szCs w:val="22"/>
          <w:lang w:val="en-US" w:eastAsia="zh-CN" w:bidi="ar-SA"/>
        </w:rPr>
        <w:t>In TS 38.133, change the requirement for NR to NR handover to:</w:t>
      </w:r>
    </w:p>
    <w:p>
      <w:pPr>
        <w:rPr>
          <w:rFonts w:cs="v4.2.0"/>
          <w:b/>
          <w:bCs/>
        </w:rPr>
      </w:pPr>
      <w:r>
        <w:rPr>
          <w:rFonts w:hint="default" w:eastAsia="宋体" w:cs="v4.2.0"/>
          <w:b/>
          <w:bCs/>
          <w:lang w:val="en-US" w:eastAsia="zh-CN"/>
        </w:rPr>
        <w:t>“</w:t>
      </w:r>
      <w:r>
        <w:rPr>
          <w:rFonts w:cs="v4.2.0"/>
          <w:b/>
          <w:bCs/>
        </w:rPr>
        <w:t xml:space="preserve">When the UE receives a RRC message implying handover the UE shall be ready to </w:t>
      </w:r>
      <w:r>
        <w:rPr>
          <w:rFonts w:cs="v4.2.0"/>
          <w:b/>
          <w:bCs/>
          <w:snapToGrid w:val="0"/>
        </w:rPr>
        <w:t>start the transmission of the new uplink PRACH channel</w:t>
      </w:r>
      <w:r>
        <w:rPr>
          <w:rFonts w:cs="v4.2.0"/>
          <w:b/>
          <w:bCs/>
        </w:rPr>
        <w:t xml:space="preserve"> within D</w:t>
      </w:r>
      <w:r>
        <w:rPr>
          <w:rFonts w:cs="v4.2.0"/>
          <w:b/>
          <w:bCs/>
          <w:vertAlign w:val="subscript"/>
        </w:rPr>
        <w:t>handover</w:t>
      </w:r>
      <w:r>
        <w:rPr>
          <w:rFonts w:cs="v4.2.0"/>
          <w:b/>
          <w:bCs/>
        </w:rPr>
        <w:t xml:space="preserve"> from the end of the last TTI containing the RRC command.</w:t>
      </w:r>
    </w:p>
    <w:p>
      <w:pPr>
        <w:rPr>
          <w:rFonts w:cs="v4.2.0"/>
          <w:b/>
          <w:bCs/>
        </w:rPr>
      </w:pPr>
      <w:r>
        <w:rPr>
          <w:rFonts w:cs="v4.2.0"/>
          <w:b/>
          <w:bCs/>
        </w:rPr>
        <w:t>Where:</w:t>
      </w:r>
    </w:p>
    <w:p>
      <w:pPr>
        <w:pStyle w:val="37"/>
        <w:numPr>
          <w:ilvl w:val="0"/>
          <w:numId w:val="0"/>
        </w:numPr>
        <w:ind w:leftChars="0"/>
        <w:rPr>
          <w:rFonts w:hint="eastAsia"/>
          <w:sz w:val="22"/>
          <w:szCs w:val="22"/>
          <w:lang w:val="en-US" w:eastAsia="zh-CN"/>
        </w:rPr>
      </w:pPr>
      <w:r>
        <w:rPr>
          <w:rFonts w:cs="v4.2.0"/>
          <w:b/>
          <w:bCs/>
        </w:rPr>
        <w:t>D</w:t>
      </w:r>
      <w:r>
        <w:rPr>
          <w:rFonts w:cs="v4.2.0"/>
          <w:b/>
          <w:bCs/>
          <w:vertAlign w:val="subscript"/>
        </w:rPr>
        <w:t>handover</w:t>
      </w:r>
      <w:r>
        <w:rPr>
          <w:rFonts w:cs="v4.2.0"/>
          <w:b/>
          <w:bCs/>
        </w:rPr>
        <w:t xml:space="preserve"> equals the RRC procedure delay </w:t>
      </w:r>
      <w:r>
        <w:rPr>
          <w:rFonts w:hint="eastAsia" w:eastAsia="宋体" w:cs="v4.2.0"/>
          <w:b/>
          <w:bCs/>
          <w:lang w:val="en-US" w:eastAsia="zh-CN"/>
        </w:rPr>
        <w:t>of RRC reconfiguration</w:t>
      </w:r>
      <w:r>
        <w:rPr>
          <w:rFonts w:cs="v4.2.0"/>
          <w:b/>
          <w:bCs/>
        </w:rPr>
        <w:t xml:space="preserve"> defined in clause</w:t>
      </w:r>
      <w:r>
        <w:rPr>
          <w:rFonts w:hint="eastAsia" w:eastAsia="宋体" w:cs="v4.2.0"/>
          <w:b/>
          <w:bCs/>
          <w:lang w:val="en-US" w:eastAsia="zh-CN"/>
        </w:rPr>
        <w:t xml:space="preserve"> </w:t>
      </w:r>
      <w:r>
        <w:rPr>
          <w:rFonts w:cs="v4.2.0"/>
          <w:b/>
          <w:bCs/>
          <w:lang w:eastAsia="zh-CN"/>
        </w:rPr>
        <w:t>12</w:t>
      </w:r>
      <w:r>
        <w:rPr>
          <w:rFonts w:cs="v4.2.0"/>
          <w:b/>
          <w:bCs/>
        </w:rPr>
        <w:t xml:space="preserve"> in </w:t>
      </w:r>
      <w:r>
        <w:rPr>
          <w:b/>
          <w:bCs/>
        </w:rPr>
        <w:t>TS 38.331 [2]</w:t>
      </w:r>
      <w:r>
        <w:rPr>
          <w:rFonts w:cs="v4.2.0"/>
          <w:b/>
          <w:bCs/>
        </w:rPr>
        <w:t xml:space="preserve"> plus the interruption time stated in clause 6.1.1.</w:t>
      </w:r>
      <w:r>
        <w:rPr>
          <w:rFonts w:hint="eastAsia" w:eastAsia="宋体" w:cs="v4.2.0"/>
          <w:b/>
          <w:bCs/>
          <w:lang w:val="en-US" w:eastAsia="zh-CN"/>
        </w:rPr>
        <w:t>X</w:t>
      </w:r>
      <w:r>
        <w:rPr>
          <w:rFonts w:cs="v4.2.0"/>
          <w:b/>
          <w:bCs/>
        </w:rPr>
        <w:t>.2.</w:t>
      </w:r>
      <w:r>
        <w:rPr>
          <w:rFonts w:hint="default" w:eastAsia="宋体" w:cs="v4.2.0"/>
          <w:b/>
          <w:bCs/>
          <w:lang w:val="en-US" w:eastAsia="zh-CN"/>
        </w:rPr>
        <w:t>”</w:t>
      </w:r>
    </w:p>
    <w:p>
      <w:pPr>
        <w:pStyle w:val="37"/>
        <w:numPr>
          <w:ilvl w:val="0"/>
          <w:numId w:val="0"/>
        </w:numPr>
        <w:ind w:leftChars="0"/>
      </w:pPr>
      <w:r>
        <w:rPr>
          <w:rFonts w:hint="eastAsia"/>
          <w:sz w:val="22"/>
          <w:szCs w:val="22"/>
          <w:lang w:val="en-US" w:eastAsia="zh-CN"/>
        </w:rPr>
        <w:t xml:space="preserve">Proposal 2: </w:t>
      </w:r>
      <w:r>
        <w:rPr>
          <w:rFonts w:hint="eastAsia" w:eastAsia="宋体" w:cstheme="minorBidi"/>
          <w:sz w:val="22"/>
          <w:szCs w:val="22"/>
          <w:lang w:val="en-US" w:eastAsia="zh-CN" w:bidi="ar-SA"/>
        </w:rPr>
        <w:t>Agree on CR [] which captures the above proposals</w:t>
      </w:r>
      <w:r>
        <w:rPr>
          <w:rFonts w:hint="eastAsia" w:eastAsia="宋体" w:cs="v4.2.0"/>
          <w:sz w:val="22"/>
          <w:szCs w:val="22"/>
          <w:vertAlign w:val="baseline"/>
          <w:lang w:val="en-US" w:eastAsia="zh-CN"/>
        </w:rPr>
        <w:t>.</w:t>
      </w:r>
    </w:p>
    <w:p>
      <w:pPr>
        <w:pStyle w:val="29"/>
        <w:jc w:val="both"/>
      </w:pPr>
      <w:r>
        <w:t>References</w:t>
      </w:r>
    </w:p>
    <w:p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5" w:name="_Ref2843888"/>
      <w:r>
        <w:rPr>
          <w:rFonts w:hint="eastAsia" w:eastAsia="宋体"/>
          <w:lang w:val="en-US" w:eastAsia="zh-CN"/>
        </w:rPr>
        <w:t>TS 38.133</w:t>
      </w:r>
      <w:bookmarkEnd w:id="5"/>
      <w:r>
        <w:rPr>
          <w:lang w:val="en-GB"/>
        </w:rPr>
        <w:t xml:space="preserve"> </w:t>
      </w:r>
    </w:p>
    <w:p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>
        <w:rPr>
          <w:rFonts w:hint="eastAsia" w:eastAsia="宋体"/>
          <w:lang w:val="en-US" w:eastAsia="zh-CN"/>
        </w:rPr>
        <w:t>TS 38.331</w:t>
      </w:r>
    </w:p>
    <w:p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sectPr>
      <w:pgSz w:w="11907" w:h="16840"/>
      <w:pgMar w:top="1412" w:right="1140" w:bottom="1140" w:left="1140" w:header="680" w:footer="567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163E"/>
    <w:multiLevelType w:val="multilevel"/>
    <w:tmpl w:val="05A4163E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6B43B9D"/>
    <w:multiLevelType w:val="multilevel"/>
    <w:tmpl w:val="46B43B9D"/>
    <w:lvl w:ilvl="0" w:tentative="0">
      <w:start w:val="1"/>
      <w:numFmt w:val="decimal"/>
      <w:pStyle w:val="31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37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DA44281"/>
    <w:multiLevelType w:val="multilevel"/>
    <w:tmpl w:val="4DA44281"/>
    <w:lvl w:ilvl="0" w:tentative="0">
      <w:start w:val="1"/>
      <w:numFmt w:val="decimal"/>
      <w:pStyle w:val="33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1F44A7"/>
    <w:multiLevelType w:val="multilevel"/>
    <w:tmpl w:val="521F44A7"/>
    <w:lvl w:ilvl="0" w:tentative="0">
      <w:start w:val="1"/>
      <w:numFmt w:val="bullet"/>
      <w:pStyle w:val="52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70146DC0"/>
    <w:multiLevelType w:val="multilevel"/>
    <w:tmpl w:val="70146DC0"/>
    <w:lvl w:ilvl="0" w:tentative="0">
      <w:start w:val="1"/>
      <w:numFmt w:val="bullet"/>
      <w:pStyle w:val="48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24821"/>
    <w:rsid w:val="00041534"/>
    <w:rsid w:val="00075081"/>
    <w:rsid w:val="0008612A"/>
    <w:rsid w:val="000A5622"/>
    <w:rsid w:val="000B0056"/>
    <w:rsid w:val="000B615D"/>
    <w:rsid w:val="000D3E70"/>
    <w:rsid w:val="000D5C4C"/>
    <w:rsid w:val="000D6D48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38CF"/>
    <w:rsid w:val="0019220B"/>
    <w:rsid w:val="00192A0F"/>
    <w:rsid w:val="00195E2B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C2D19"/>
    <w:rsid w:val="002C4FA4"/>
    <w:rsid w:val="002C54F8"/>
    <w:rsid w:val="002D0A10"/>
    <w:rsid w:val="002D10FA"/>
    <w:rsid w:val="002D4C55"/>
    <w:rsid w:val="00303EDF"/>
    <w:rsid w:val="0030574A"/>
    <w:rsid w:val="0032066B"/>
    <w:rsid w:val="00333C93"/>
    <w:rsid w:val="00334967"/>
    <w:rsid w:val="00334C4B"/>
    <w:rsid w:val="00336C53"/>
    <w:rsid w:val="00336CAE"/>
    <w:rsid w:val="003776D8"/>
    <w:rsid w:val="0038445C"/>
    <w:rsid w:val="003A23FA"/>
    <w:rsid w:val="003B01D3"/>
    <w:rsid w:val="003B659E"/>
    <w:rsid w:val="003D6875"/>
    <w:rsid w:val="003E0127"/>
    <w:rsid w:val="003E5526"/>
    <w:rsid w:val="003E5C9D"/>
    <w:rsid w:val="003F5961"/>
    <w:rsid w:val="00417CF1"/>
    <w:rsid w:val="00423A76"/>
    <w:rsid w:val="00433E52"/>
    <w:rsid w:val="0043750A"/>
    <w:rsid w:val="00454DA2"/>
    <w:rsid w:val="00475300"/>
    <w:rsid w:val="004765AE"/>
    <w:rsid w:val="0048457F"/>
    <w:rsid w:val="00493619"/>
    <w:rsid w:val="004A49A3"/>
    <w:rsid w:val="004B4607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71DA"/>
    <w:rsid w:val="005C12DF"/>
    <w:rsid w:val="005D3CA8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25BAF"/>
    <w:rsid w:val="00841BCD"/>
    <w:rsid w:val="00857CB7"/>
    <w:rsid w:val="00861102"/>
    <w:rsid w:val="00864992"/>
    <w:rsid w:val="00870CCB"/>
    <w:rsid w:val="008826C1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E34DF"/>
    <w:rsid w:val="00A10C4E"/>
    <w:rsid w:val="00A22B78"/>
    <w:rsid w:val="00A2461A"/>
    <w:rsid w:val="00A25AE5"/>
    <w:rsid w:val="00A409BB"/>
    <w:rsid w:val="00A460FA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2E17"/>
    <w:rsid w:val="00C65C70"/>
    <w:rsid w:val="00C718E5"/>
    <w:rsid w:val="00C953A4"/>
    <w:rsid w:val="00CA22D5"/>
    <w:rsid w:val="00CA6ADC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1A14"/>
    <w:rsid w:val="00F72507"/>
    <w:rsid w:val="00F72ED0"/>
    <w:rsid w:val="00F824F5"/>
    <w:rsid w:val="00FA5814"/>
    <w:rsid w:val="00FB3E7A"/>
    <w:rsid w:val="00FB49DD"/>
    <w:rsid w:val="00FC138C"/>
    <w:rsid w:val="00FC1E8B"/>
    <w:rsid w:val="00FC29B9"/>
    <w:rsid w:val="00FC6FD3"/>
    <w:rsid w:val="00FD04FD"/>
    <w:rsid w:val="00FD2D1E"/>
    <w:rsid w:val="00FF6C99"/>
    <w:rsid w:val="016E368C"/>
    <w:rsid w:val="017B5E4B"/>
    <w:rsid w:val="018D054D"/>
    <w:rsid w:val="01FF08B3"/>
    <w:rsid w:val="02B274E2"/>
    <w:rsid w:val="02C25D33"/>
    <w:rsid w:val="03C6506D"/>
    <w:rsid w:val="03F37217"/>
    <w:rsid w:val="04C77D0A"/>
    <w:rsid w:val="04D5204C"/>
    <w:rsid w:val="04F80C8F"/>
    <w:rsid w:val="059B61E4"/>
    <w:rsid w:val="05A83996"/>
    <w:rsid w:val="05A86143"/>
    <w:rsid w:val="06105DAC"/>
    <w:rsid w:val="069766CC"/>
    <w:rsid w:val="073B0F19"/>
    <w:rsid w:val="07502CA2"/>
    <w:rsid w:val="078B76F8"/>
    <w:rsid w:val="079D410C"/>
    <w:rsid w:val="080661C8"/>
    <w:rsid w:val="08136E9F"/>
    <w:rsid w:val="08641205"/>
    <w:rsid w:val="08663678"/>
    <w:rsid w:val="0868025F"/>
    <w:rsid w:val="0873226E"/>
    <w:rsid w:val="08935729"/>
    <w:rsid w:val="08B8217D"/>
    <w:rsid w:val="08BE1B81"/>
    <w:rsid w:val="08C654D4"/>
    <w:rsid w:val="08CC5D10"/>
    <w:rsid w:val="092C45E6"/>
    <w:rsid w:val="099F556C"/>
    <w:rsid w:val="09C640C3"/>
    <w:rsid w:val="09C66736"/>
    <w:rsid w:val="0A5763D4"/>
    <w:rsid w:val="0A7BF868"/>
    <w:rsid w:val="0B2C0D4F"/>
    <w:rsid w:val="0B2F05F5"/>
    <w:rsid w:val="0B7322DC"/>
    <w:rsid w:val="0BB77882"/>
    <w:rsid w:val="0C3C5307"/>
    <w:rsid w:val="0C56263C"/>
    <w:rsid w:val="0C5E2B8A"/>
    <w:rsid w:val="0D026896"/>
    <w:rsid w:val="0D102274"/>
    <w:rsid w:val="0DA958CA"/>
    <w:rsid w:val="0DF104D3"/>
    <w:rsid w:val="0DFD5E7B"/>
    <w:rsid w:val="0E1C586B"/>
    <w:rsid w:val="0E5237AB"/>
    <w:rsid w:val="0ED138E6"/>
    <w:rsid w:val="0EED584B"/>
    <w:rsid w:val="0EEE7C64"/>
    <w:rsid w:val="0F67780F"/>
    <w:rsid w:val="0F8F3C2A"/>
    <w:rsid w:val="0FB648CB"/>
    <w:rsid w:val="0FD0731A"/>
    <w:rsid w:val="0FF1533A"/>
    <w:rsid w:val="0FFE0AFA"/>
    <w:rsid w:val="100578DD"/>
    <w:rsid w:val="10AA3C13"/>
    <w:rsid w:val="10CD0B75"/>
    <w:rsid w:val="110C4D24"/>
    <w:rsid w:val="122017FC"/>
    <w:rsid w:val="128409CA"/>
    <w:rsid w:val="12BB3A94"/>
    <w:rsid w:val="12EF585C"/>
    <w:rsid w:val="13262572"/>
    <w:rsid w:val="136D11EC"/>
    <w:rsid w:val="137D50D6"/>
    <w:rsid w:val="139B3B65"/>
    <w:rsid w:val="13D36053"/>
    <w:rsid w:val="13F75352"/>
    <w:rsid w:val="1480544B"/>
    <w:rsid w:val="14B36B91"/>
    <w:rsid w:val="15041012"/>
    <w:rsid w:val="164F667E"/>
    <w:rsid w:val="165D0583"/>
    <w:rsid w:val="16654289"/>
    <w:rsid w:val="16DB79C9"/>
    <w:rsid w:val="170A55AB"/>
    <w:rsid w:val="17141F2D"/>
    <w:rsid w:val="17A076C4"/>
    <w:rsid w:val="17A62BCE"/>
    <w:rsid w:val="17E826AB"/>
    <w:rsid w:val="186E3DFF"/>
    <w:rsid w:val="18D3414F"/>
    <w:rsid w:val="18D91924"/>
    <w:rsid w:val="18E7333F"/>
    <w:rsid w:val="19A96435"/>
    <w:rsid w:val="1A0B3A21"/>
    <w:rsid w:val="1B3329B5"/>
    <w:rsid w:val="1B7F155B"/>
    <w:rsid w:val="1BEE71E3"/>
    <w:rsid w:val="1C1448F9"/>
    <w:rsid w:val="1C3D6DD1"/>
    <w:rsid w:val="1C6A6128"/>
    <w:rsid w:val="1C9E66AF"/>
    <w:rsid w:val="1D1F1294"/>
    <w:rsid w:val="1D3267EF"/>
    <w:rsid w:val="1DA475AD"/>
    <w:rsid w:val="1E8806BC"/>
    <w:rsid w:val="1EA137E3"/>
    <w:rsid w:val="1F0936F5"/>
    <w:rsid w:val="1F17474D"/>
    <w:rsid w:val="1F2B10F9"/>
    <w:rsid w:val="1F711839"/>
    <w:rsid w:val="200D067C"/>
    <w:rsid w:val="20811B82"/>
    <w:rsid w:val="20A662B2"/>
    <w:rsid w:val="21091739"/>
    <w:rsid w:val="211451D0"/>
    <w:rsid w:val="2151075A"/>
    <w:rsid w:val="219E74A3"/>
    <w:rsid w:val="220539DF"/>
    <w:rsid w:val="22571B82"/>
    <w:rsid w:val="2276619E"/>
    <w:rsid w:val="22920D1D"/>
    <w:rsid w:val="22C0245E"/>
    <w:rsid w:val="23514077"/>
    <w:rsid w:val="23855295"/>
    <w:rsid w:val="23B20773"/>
    <w:rsid w:val="23CF6D67"/>
    <w:rsid w:val="244A4DE5"/>
    <w:rsid w:val="248F188B"/>
    <w:rsid w:val="24C47E0A"/>
    <w:rsid w:val="24E91488"/>
    <w:rsid w:val="24FC3902"/>
    <w:rsid w:val="25077EC5"/>
    <w:rsid w:val="25151459"/>
    <w:rsid w:val="25962669"/>
    <w:rsid w:val="25C20278"/>
    <w:rsid w:val="262D62D9"/>
    <w:rsid w:val="26681CAB"/>
    <w:rsid w:val="267E5FCE"/>
    <w:rsid w:val="274858B7"/>
    <w:rsid w:val="274C771B"/>
    <w:rsid w:val="27572E0B"/>
    <w:rsid w:val="280C272A"/>
    <w:rsid w:val="28352D10"/>
    <w:rsid w:val="284E0592"/>
    <w:rsid w:val="284E33F7"/>
    <w:rsid w:val="287A3770"/>
    <w:rsid w:val="28D15232"/>
    <w:rsid w:val="290F7961"/>
    <w:rsid w:val="291D6A72"/>
    <w:rsid w:val="292E1ABF"/>
    <w:rsid w:val="293606FA"/>
    <w:rsid w:val="29517179"/>
    <w:rsid w:val="29E7086A"/>
    <w:rsid w:val="2A1219AD"/>
    <w:rsid w:val="2A394321"/>
    <w:rsid w:val="2AE26D3F"/>
    <w:rsid w:val="2AF8774D"/>
    <w:rsid w:val="2B0F6E62"/>
    <w:rsid w:val="2B1014DB"/>
    <w:rsid w:val="2B4E55E6"/>
    <w:rsid w:val="2B7579C5"/>
    <w:rsid w:val="2BB04900"/>
    <w:rsid w:val="2BCD64C2"/>
    <w:rsid w:val="2C3A3275"/>
    <w:rsid w:val="2C495744"/>
    <w:rsid w:val="2CAF041D"/>
    <w:rsid w:val="2CEE6B8D"/>
    <w:rsid w:val="2CF3352C"/>
    <w:rsid w:val="2D0F62B6"/>
    <w:rsid w:val="2D233DAE"/>
    <w:rsid w:val="2D8E403A"/>
    <w:rsid w:val="2DFD393B"/>
    <w:rsid w:val="2E0770FA"/>
    <w:rsid w:val="2E145F76"/>
    <w:rsid w:val="2E55767B"/>
    <w:rsid w:val="2E794887"/>
    <w:rsid w:val="2EA86D09"/>
    <w:rsid w:val="2F32226B"/>
    <w:rsid w:val="2F376D10"/>
    <w:rsid w:val="2FA231C5"/>
    <w:rsid w:val="3005182A"/>
    <w:rsid w:val="308B65F2"/>
    <w:rsid w:val="3105629B"/>
    <w:rsid w:val="3117229F"/>
    <w:rsid w:val="31395268"/>
    <w:rsid w:val="315166FC"/>
    <w:rsid w:val="31950F1B"/>
    <w:rsid w:val="31A50177"/>
    <w:rsid w:val="320F0A18"/>
    <w:rsid w:val="32351CB2"/>
    <w:rsid w:val="324554E5"/>
    <w:rsid w:val="325D2B5A"/>
    <w:rsid w:val="327661FC"/>
    <w:rsid w:val="3288676B"/>
    <w:rsid w:val="32B33B5A"/>
    <w:rsid w:val="32EE27B2"/>
    <w:rsid w:val="330120D5"/>
    <w:rsid w:val="33245EFA"/>
    <w:rsid w:val="33372789"/>
    <w:rsid w:val="333876C2"/>
    <w:rsid w:val="33484A1E"/>
    <w:rsid w:val="335F47E9"/>
    <w:rsid w:val="346E4104"/>
    <w:rsid w:val="3476470C"/>
    <w:rsid w:val="34D83C16"/>
    <w:rsid w:val="3509315E"/>
    <w:rsid w:val="351A4CC6"/>
    <w:rsid w:val="35B01049"/>
    <w:rsid w:val="36522CDC"/>
    <w:rsid w:val="37705F34"/>
    <w:rsid w:val="377700B0"/>
    <w:rsid w:val="37846083"/>
    <w:rsid w:val="37915301"/>
    <w:rsid w:val="37AF7036"/>
    <w:rsid w:val="37E00E7E"/>
    <w:rsid w:val="37E726D4"/>
    <w:rsid w:val="380927B5"/>
    <w:rsid w:val="3876150B"/>
    <w:rsid w:val="392739EA"/>
    <w:rsid w:val="392D38AD"/>
    <w:rsid w:val="3946679B"/>
    <w:rsid w:val="399A43EA"/>
    <w:rsid w:val="39AF2187"/>
    <w:rsid w:val="3A0F1960"/>
    <w:rsid w:val="3A166029"/>
    <w:rsid w:val="3A364B42"/>
    <w:rsid w:val="3A996A5B"/>
    <w:rsid w:val="3ADD4FDA"/>
    <w:rsid w:val="3AF216E5"/>
    <w:rsid w:val="3B30671A"/>
    <w:rsid w:val="3B5662AC"/>
    <w:rsid w:val="3BA205A3"/>
    <w:rsid w:val="3C020C60"/>
    <w:rsid w:val="3C727D51"/>
    <w:rsid w:val="3C802C1E"/>
    <w:rsid w:val="3CCE203C"/>
    <w:rsid w:val="3D0C1655"/>
    <w:rsid w:val="3D4E48C8"/>
    <w:rsid w:val="3D77737D"/>
    <w:rsid w:val="3DB81487"/>
    <w:rsid w:val="3DC04E13"/>
    <w:rsid w:val="3DD244E7"/>
    <w:rsid w:val="3E1907C2"/>
    <w:rsid w:val="3E1C12FE"/>
    <w:rsid w:val="3E5B41D6"/>
    <w:rsid w:val="3ECE16FA"/>
    <w:rsid w:val="3F072EB0"/>
    <w:rsid w:val="3FF55768"/>
    <w:rsid w:val="40566CBF"/>
    <w:rsid w:val="405B0BEF"/>
    <w:rsid w:val="407921CE"/>
    <w:rsid w:val="40C04FE0"/>
    <w:rsid w:val="40D8749E"/>
    <w:rsid w:val="41AA7137"/>
    <w:rsid w:val="41EC58FB"/>
    <w:rsid w:val="42153718"/>
    <w:rsid w:val="42381A71"/>
    <w:rsid w:val="426B0C9E"/>
    <w:rsid w:val="42841694"/>
    <w:rsid w:val="429266C7"/>
    <w:rsid w:val="42AF1322"/>
    <w:rsid w:val="42B30ACF"/>
    <w:rsid w:val="42E73C10"/>
    <w:rsid w:val="430903EA"/>
    <w:rsid w:val="432969A7"/>
    <w:rsid w:val="43901FC8"/>
    <w:rsid w:val="43EE582E"/>
    <w:rsid w:val="43FB3DA4"/>
    <w:rsid w:val="44022066"/>
    <w:rsid w:val="441C4006"/>
    <w:rsid w:val="4451437F"/>
    <w:rsid w:val="44707FDB"/>
    <w:rsid w:val="449E489D"/>
    <w:rsid w:val="44B24294"/>
    <w:rsid w:val="451019FB"/>
    <w:rsid w:val="455B13AC"/>
    <w:rsid w:val="45CF3CD0"/>
    <w:rsid w:val="460567D8"/>
    <w:rsid w:val="462F25DF"/>
    <w:rsid w:val="46620161"/>
    <w:rsid w:val="47C304FD"/>
    <w:rsid w:val="47C357A6"/>
    <w:rsid w:val="47D77F02"/>
    <w:rsid w:val="47FF2E40"/>
    <w:rsid w:val="487C3875"/>
    <w:rsid w:val="48977283"/>
    <w:rsid w:val="48FA3778"/>
    <w:rsid w:val="49896512"/>
    <w:rsid w:val="4996414B"/>
    <w:rsid w:val="49BA3D71"/>
    <w:rsid w:val="49DA5E42"/>
    <w:rsid w:val="4A5C70F1"/>
    <w:rsid w:val="4AB61A05"/>
    <w:rsid w:val="4AF26B9D"/>
    <w:rsid w:val="4BB65435"/>
    <w:rsid w:val="4BCE1489"/>
    <w:rsid w:val="4BEA1EE4"/>
    <w:rsid w:val="4BFB2D49"/>
    <w:rsid w:val="4C293566"/>
    <w:rsid w:val="4C723787"/>
    <w:rsid w:val="4CF05EAC"/>
    <w:rsid w:val="4D102CB4"/>
    <w:rsid w:val="4D8E1BE9"/>
    <w:rsid w:val="4D9E609E"/>
    <w:rsid w:val="4E0243C8"/>
    <w:rsid w:val="4EA61F19"/>
    <w:rsid w:val="4EB053BD"/>
    <w:rsid w:val="4EF8450A"/>
    <w:rsid w:val="4F150B2F"/>
    <w:rsid w:val="4F775423"/>
    <w:rsid w:val="4FBC6FAF"/>
    <w:rsid w:val="4FDC68F3"/>
    <w:rsid w:val="50005DA1"/>
    <w:rsid w:val="502A6272"/>
    <w:rsid w:val="50396BD9"/>
    <w:rsid w:val="5041435B"/>
    <w:rsid w:val="50564CCA"/>
    <w:rsid w:val="505A1CB0"/>
    <w:rsid w:val="509778C7"/>
    <w:rsid w:val="51773E2A"/>
    <w:rsid w:val="51C53170"/>
    <w:rsid w:val="5280421D"/>
    <w:rsid w:val="52BF27F0"/>
    <w:rsid w:val="52FC10E1"/>
    <w:rsid w:val="535E62F0"/>
    <w:rsid w:val="5361709F"/>
    <w:rsid w:val="53705401"/>
    <w:rsid w:val="53752E8D"/>
    <w:rsid w:val="537755FB"/>
    <w:rsid w:val="53832E83"/>
    <w:rsid w:val="53C44BEA"/>
    <w:rsid w:val="53D45151"/>
    <w:rsid w:val="540D782C"/>
    <w:rsid w:val="542835DF"/>
    <w:rsid w:val="542F1421"/>
    <w:rsid w:val="544B51D2"/>
    <w:rsid w:val="544D013B"/>
    <w:rsid w:val="546C32BA"/>
    <w:rsid w:val="54AC4862"/>
    <w:rsid w:val="54B4149E"/>
    <w:rsid w:val="54D53DDB"/>
    <w:rsid w:val="55352F87"/>
    <w:rsid w:val="5553143F"/>
    <w:rsid w:val="55B42DC5"/>
    <w:rsid w:val="55CC7E5B"/>
    <w:rsid w:val="568F7E77"/>
    <w:rsid w:val="56C13DAD"/>
    <w:rsid w:val="56E81135"/>
    <w:rsid w:val="57895FC5"/>
    <w:rsid w:val="584947AF"/>
    <w:rsid w:val="586B2608"/>
    <w:rsid w:val="58E20C36"/>
    <w:rsid w:val="59027876"/>
    <w:rsid w:val="592D7AE2"/>
    <w:rsid w:val="593554F0"/>
    <w:rsid w:val="5A3078C5"/>
    <w:rsid w:val="5AAC4CA7"/>
    <w:rsid w:val="5ACA11F3"/>
    <w:rsid w:val="5ADF3A74"/>
    <w:rsid w:val="5AE53367"/>
    <w:rsid w:val="5B0B0083"/>
    <w:rsid w:val="5BC0364C"/>
    <w:rsid w:val="5BC3228B"/>
    <w:rsid w:val="5C3B1FEA"/>
    <w:rsid w:val="5C6A01BF"/>
    <w:rsid w:val="5CE024D4"/>
    <w:rsid w:val="5CF62A1F"/>
    <w:rsid w:val="5D041ECD"/>
    <w:rsid w:val="5D350598"/>
    <w:rsid w:val="5DA30AA8"/>
    <w:rsid w:val="5E2D4C21"/>
    <w:rsid w:val="5EE41E2E"/>
    <w:rsid w:val="5F0F00DA"/>
    <w:rsid w:val="60017F85"/>
    <w:rsid w:val="602320F9"/>
    <w:rsid w:val="6045086B"/>
    <w:rsid w:val="60727CA6"/>
    <w:rsid w:val="60745B63"/>
    <w:rsid w:val="61051332"/>
    <w:rsid w:val="613A62EF"/>
    <w:rsid w:val="61FB2024"/>
    <w:rsid w:val="61FD6095"/>
    <w:rsid w:val="62302F88"/>
    <w:rsid w:val="62812953"/>
    <w:rsid w:val="62B7743E"/>
    <w:rsid w:val="63D951AB"/>
    <w:rsid w:val="64116858"/>
    <w:rsid w:val="648D5222"/>
    <w:rsid w:val="64B2258D"/>
    <w:rsid w:val="65997784"/>
    <w:rsid w:val="65C64C37"/>
    <w:rsid w:val="65EE012C"/>
    <w:rsid w:val="661E18B5"/>
    <w:rsid w:val="66AB371C"/>
    <w:rsid w:val="66AE1192"/>
    <w:rsid w:val="66C26880"/>
    <w:rsid w:val="66CA69C3"/>
    <w:rsid w:val="67DA4215"/>
    <w:rsid w:val="67E42DFA"/>
    <w:rsid w:val="68063A00"/>
    <w:rsid w:val="680A09E1"/>
    <w:rsid w:val="6860443E"/>
    <w:rsid w:val="68EB3ADC"/>
    <w:rsid w:val="69462386"/>
    <w:rsid w:val="6A7016FE"/>
    <w:rsid w:val="6AB80C9A"/>
    <w:rsid w:val="6AFC6812"/>
    <w:rsid w:val="6B5E2EC6"/>
    <w:rsid w:val="6C42065A"/>
    <w:rsid w:val="6C6F44FD"/>
    <w:rsid w:val="6CD4731D"/>
    <w:rsid w:val="6D121910"/>
    <w:rsid w:val="6D3205F0"/>
    <w:rsid w:val="6DB702B4"/>
    <w:rsid w:val="6DD62A9C"/>
    <w:rsid w:val="6E504618"/>
    <w:rsid w:val="6EB20078"/>
    <w:rsid w:val="6F5579D7"/>
    <w:rsid w:val="6F801AF8"/>
    <w:rsid w:val="6F8D5AAE"/>
    <w:rsid w:val="6FFF59CB"/>
    <w:rsid w:val="70160759"/>
    <w:rsid w:val="70200B37"/>
    <w:rsid w:val="7037013D"/>
    <w:rsid w:val="704E4A67"/>
    <w:rsid w:val="70995673"/>
    <w:rsid w:val="70AA0AC2"/>
    <w:rsid w:val="70C323F9"/>
    <w:rsid w:val="70EA7511"/>
    <w:rsid w:val="71143E21"/>
    <w:rsid w:val="712F6C6F"/>
    <w:rsid w:val="72867A39"/>
    <w:rsid w:val="72E2440A"/>
    <w:rsid w:val="72EE3608"/>
    <w:rsid w:val="7327462F"/>
    <w:rsid w:val="732F59FD"/>
    <w:rsid w:val="73373876"/>
    <w:rsid w:val="734B5574"/>
    <w:rsid w:val="7355417D"/>
    <w:rsid w:val="736C3FBB"/>
    <w:rsid w:val="73A85DC8"/>
    <w:rsid w:val="73C32C41"/>
    <w:rsid w:val="73C91EB3"/>
    <w:rsid w:val="74573DE9"/>
    <w:rsid w:val="749638EE"/>
    <w:rsid w:val="749900DE"/>
    <w:rsid w:val="749E6443"/>
    <w:rsid w:val="74D040FE"/>
    <w:rsid w:val="74D53B99"/>
    <w:rsid w:val="754C1AAF"/>
    <w:rsid w:val="76991F3B"/>
    <w:rsid w:val="76D8737F"/>
    <w:rsid w:val="76E279D7"/>
    <w:rsid w:val="772E0626"/>
    <w:rsid w:val="7752184A"/>
    <w:rsid w:val="7754709D"/>
    <w:rsid w:val="776E285A"/>
    <w:rsid w:val="779E3171"/>
    <w:rsid w:val="77B02D8D"/>
    <w:rsid w:val="77C0093D"/>
    <w:rsid w:val="77C90B9C"/>
    <w:rsid w:val="78384CBC"/>
    <w:rsid w:val="784258BF"/>
    <w:rsid w:val="78DA1499"/>
    <w:rsid w:val="793758F2"/>
    <w:rsid w:val="79DC6C3F"/>
    <w:rsid w:val="79ED4DBE"/>
    <w:rsid w:val="7A250260"/>
    <w:rsid w:val="7A787ECB"/>
    <w:rsid w:val="7A8B51CB"/>
    <w:rsid w:val="7A9877FF"/>
    <w:rsid w:val="7AB507FA"/>
    <w:rsid w:val="7AC634CB"/>
    <w:rsid w:val="7C3A7105"/>
    <w:rsid w:val="7C41564D"/>
    <w:rsid w:val="7C8E16C9"/>
    <w:rsid w:val="7C936B6A"/>
    <w:rsid w:val="7CB561C0"/>
    <w:rsid w:val="7CCC277F"/>
    <w:rsid w:val="7CE3033A"/>
    <w:rsid w:val="7D0A2590"/>
    <w:rsid w:val="7D182884"/>
    <w:rsid w:val="7D314581"/>
    <w:rsid w:val="7D54493D"/>
    <w:rsid w:val="7D550752"/>
    <w:rsid w:val="7D6A7A29"/>
    <w:rsid w:val="7DCC5A45"/>
    <w:rsid w:val="7DCF5F5B"/>
    <w:rsid w:val="7E8B6D0C"/>
    <w:rsid w:val="7F285EA4"/>
    <w:rsid w:val="7F400D9D"/>
    <w:rsid w:val="7F787EDB"/>
    <w:rsid w:val="7F970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name="header"/>
    <w:lsdException w:uiPriority="99" w:name="footer"/>
    <w:lsdException w:uiPriority="99" w:name="index heading"/>
    <w:lsdException w:qFormat="1" w:uiPriority="35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 w:val="20"/>
      <w:szCs w:val="22"/>
      <w:lang w:val="en-US" w:eastAsia="en-US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2"/>
    <w:next w:val="1"/>
    <w:link w:val="25"/>
    <w:qFormat/>
    <w:uiPriority w:val="0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4">
    <w:name w:val="heading 3"/>
    <w:basedOn w:val="3"/>
    <w:next w:val="1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44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annotation subject"/>
    <w:basedOn w:val="8"/>
    <w:next w:val="8"/>
    <w:link w:val="60"/>
    <w:semiHidden/>
    <w:unhideWhenUsed/>
    <w:qFormat/>
    <w:uiPriority w:val="99"/>
    <w:rPr>
      <w:b/>
      <w:bCs/>
    </w:rPr>
  </w:style>
  <w:style w:type="paragraph" w:styleId="8">
    <w:name w:val="annotation text"/>
    <w:basedOn w:val="1"/>
    <w:link w:val="59"/>
    <w:semiHidden/>
    <w:unhideWhenUsed/>
    <w:qFormat/>
    <w:uiPriority w:val="99"/>
    <w:pPr>
      <w:spacing w:line="240" w:lineRule="auto"/>
    </w:pPr>
    <w:rPr>
      <w:szCs w:val="20"/>
    </w:rPr>
  </w:style>
  <w:style w:type="paragraph" w:styleId="9">
    <w:name w:val="caption"/>
    <w:basedOn w:val="1"/>
    <w:next w:val="1"/>
    <w:link w:val="39"/>
    <w:unhideWhenUsed/>
    <w:qFormat/>
    <w:uiPriority w:val="35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10">
    <w:name w:val="Body Text"/>
    <w:basedOn w:val="1"/>
    <w:link w:val="47"/>
    <w:semiHidden/>
    <w:unhideWhenUsed/>
    <w:qFormat/>
    <w:uiPriority w:val="0"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11">
    <w:name w:val="List 2"/>
    <w:basedOn w:val="12"/>
    <w:semiHidden/>
    <w:unhideWhenUsed/>
    <w:qFormat/>
    <w:uiPriority w:val="99"/>
    <w:pPr>
      <w:ind w:left="566" w:hanging="283"/>
      <w:contextualSpacing/>
    </w:pPr>
  </w:style>
  <w:style w:type="paragraph" w:styleId="12">
    <w:name w:val="List"/>
    <w:basedOn w:val="1"/>
    <w:qFormat/>
    <w:uiPriority w:val="0"/>
    <w:pPr>
      <w:ind w:left="568" w:hanging="284"/>
    </w:pPr>
  </w:style>
  <w:style w:type="paragraph" w:styleId="13">
    <w:name w:val="Balloon Text"/>
    <w:basedOn w:val="1"/>
    <w:link w:val="56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4">
    <w:name w:val="header"/>
    <w:basedOn w:val="1"/>
    <w:link w:val="54"/>
    <w:semiHidden/>
    <w:unhideWhenUsed/>
    <w:qFormat/>
    <w:uiPriority w:val="0"/>
    <w:pPr>
      <w:widowControl w:val="0"/>
      <w:spacing w:after="0" w:line="240" w:lineRule="auto"/>
    </w:pPr>
    <w:rPr>
      <w:rFonts w:ascii="Tms Rmn" w:hAnsi="Tms Rmn" w:eastAsiaTheme="minorHAnsi" w:cstheme="minorBidi"/>
      <w:b/>
      <w:sz w:val="18"/>
      <w:szCs w:val="22"/>
      <w:lang w:val="en-US" w:eastAsia="en-US" w:bidi="ar-SA"/>
    </w:rPr>
  </w:style>
  <w:style w:type="paragraph" w:styleId="15">
    <w:name w:val="toc 1"/>
    <w:basedOn w:val="1"/>
    <w:next w:val="1"/>
    <w:unhideWhenUsed/>
    <w:qFormat/>
    <w:uiPriority w:val="39"/>
    <w:pPr>
      <w:spacing w:after="100"/>
    </w:pPr>
  </w:style>
  <w:style w:type="paragraph" w:styleId="16">
    <w:name w:val="table of figures"/>
    <w:basedOn w:val="1"/>
    <w:next w:val="1"/>
    <w:unhideWhenUsed/>
    <w:qFormat/>
    <w:uiPriority w:val="99"/>
    <w:pPr>
      <w:spacing w:after="0"/>
    </w:pPr>
  </w:style>
  <w:style w:type="paragraph" w:styleId="17">
    <w:name w:val="toc 2"/>
    <w:basedOn w:val="1"/>
    <w:next w:val="1"/>
    <w:unhideWhenUsed/>
    <w:qFormat/>
    <w:uiPriority w:val="39"/>
    <w:pPr>
      <w:spacing w:after="100"/>
      <w:ind w:left="200"/>
    </w:pPr>
  </w:style>
  <w:style w:type="paragraph" w:styleId="18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20">
    <w:name w:val="FollowedHyperlink"/>
    <w:basedOn w:val="19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1">
    <w:name w:val="Hyperlink"/>
    <w:basedOn w:val="1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2">
    <w:name w:val="annotation reference"/>
    <w:basedOn w:val="19"/>
    <w:semiHidden/>
    <w:unhideWhenUsed/>
    <w:qFormat/>
    <w:uiPriority w:val="99"/>
    <w:rPr>
      <w:sz w:val="16"/>
      <w:szCs w:val="16"/>
    </w:rPr>
  </w:style>
  <w:style w:type="table" w:styleId="24">
    <w:name w:val="Table Grid"/>
    <w:basedOn w:val="23"/>
    <w:qFormat/>
    <w:uiPriority w:val="39"/>
    <w:pPr>
      <w:spacing w:after="0" w:line="240" w:lineRule="auto"/>
    </w:pPr>
    <w:rPr>
      <w:rFonts w:ascii="Arial" w:hAnsi="Ari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25">
    <w:name w:val="Heading 2 Char"/>
    <w:basedOn w:val="19"/>
    <w:link w:val="3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character" w:customStyle="1" w:styleId="26">
    <w:name w:val="Heading 1 Char"/>
    <w:basedOn w:val="19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27">
    <w:name w:val="List Paragraph"/>
    <w:basedOn w:val="1"/>
    <w:link w:val="34"/>
    <w:qFormat/>
    <w:uiPriority w:val="34"/>
    <w:pPr>
      <w:ind w:left="720"/>
      <w:contextualSpacing/>
    </w:pPr>
  </w:style>
  <w:style w:type="paragraph" w:customStyle="1" w:styleId="28">
    <w:name w:val="RAN4 H2"/>
    <w:basedOn w:val="3"/>
    <w:next w:val="1"/>
    <w:link w:val="30"/>
    <w:qFormat/>
    <w:uiPriority w:val="0"/>
    <w:rPr>
      <w:lang w:val="en-US"/>
    </w:rPr>
  </w:style>
  <w:style w:type="paragraph" w:customStyle="1" w:styleId="29">
    <w:name w:val="RAN4 H1"/>
    <w:basedOn w:val="1"/>
    <w:link w:val="32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szCs w:val="20"/>
      <w:lang w:val="en-GB"/>
    </w:rPr>
  </w:style>
  <w:style w:type="character" w:customStyle="1" w:styleId="30">
    <w:name w:val="RAN4 H2 Char"/>
    <w:basedOn w:val="25"/>
    <w:link w:val="28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paragraph" w:customStyle="1" w:styleId="31">
    <w:name w:val="RAN4 Observation"/>
    <w:basedOn w:val="27"/>
    <w:next w:val="1"/>
    <w:link w:val="35"/>
    <w:qFormat/>
    <w:uiPriority w:val="0"/>
    <w:pPr>
      <w:numPr>
        <w:ilvl w:val="0"/>
        <w:numId w:val="1"/>
      </w:numPr>
    </w:pPr>
    <w:rPr>
      <w:rFonts w:eastAsia="Calibri" w:cs="Times New Roman"/>
      <w:szCs w:val="20"/>
      <w:lang w:val="en-GB"/>
    </w:rPr>
  </w:style>
  <w:style w:type="character" w:customStyle="1" w:styleId="32">
    <w:name w:val="RAN4 H1 Char"/>
    <w:basedOn w:val="19"/>
    <w:link w:val="29"/>
    <w:qFormat/>
    <w:uiPriority w:val="0"/>
    <w:rPr>
      <w:rFonts w:ascii="Arial" w:hAnsi="Arial" w:eastAsia="宋体" w:cs="Times New Roman"/>
      <w:sz w:val="36"/>
      <w:szCs w:val="20"/>
      <w:lang w:val="en-GB"/>
    </w:rPr>
  </w:style>
  <w:style w:type="paragraph" w:customStyle="1" w:styleId="33">
    <w:name w:val="RAN4 Proposal"/>
    <w:basedOn w:val="27"/>
    <w:next w:val="1"/>
    <w:link w:val="36"/>
    <w:qFormat/>
    <w:uiPriority w:val="0"/>
    <w:pPr>
      <w:numPr>
        <w:ilvl w:val="0"/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34">
    <w:name w:val="List Paragraph Char"/>
    <w:basedOn w:val="19"/>
    <w:link w:val="27"/>
    <w:qFormat/>
    <w:uiPriority w:val="34"/>
  </w:style>
  <w:style w:type="character" w:customStyle="1" w:styleId="35">
    <w:name w:val="RAN4 Observation Char"/>
    <w:basedOn w:val="34"/>
    <w:link w:val="31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36">
    <w:name w:val="RAN4 Proposal Char"/>
    <w:basedOn w:val="34"/>
    <w:link w:val="33"/>
    <w:qFormat/>
    <w:uiPriority w:val="0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customStyle="1" w:styleId="37">
    <w:name w:val="RAN4 proposal"/>
    <w:basedOn w:val="9"/>
    <w:next w:val="1"/>
    <w:link w:val="40"/>
    <w:qFormat/>
    <w:uiPriority w:val="0"/>
    <w:pPr>
      <w:numPr>
        <w:ilvl w:val="0"/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38">
    <w:name w:val="TOC Heading"/>
    <w:basedOn w:val="2"/>
    <w:next w:val="1"/>
    <w:unhideWhenUsed/>
    <w:qFormat/>
    <w:uiPriority w:val="39"/>
    <w:pPr>
      <w:outlineLvl w:val="9"/>
    </w:pPr>
  </w:style>
  <w:style w:type="character" w:customStyle="1" w:styleId="39">
    <w:name w:val="Caption Char"/>
    <w:basedOn w:val="19"/>
    <w:link w:val="9"/>
    <w:qFormat/>
    <w:uiPriority w:val="35"/>
    <w:rPr>
      <w:rFonts w:ascii="Arial" w:hAnsi="Arial"/>
      <w:i/>
      <w:iCs/>
      <w:sz w:val="18"/>
      <w:szCs w:val="18"/>
    </w:rPr>
  </w:style>
  <w:style w:type="character" w:customStyle="1" w:styleId="40">
    <w:name w:val="RAN4 proposal Char"/>
    <w:basedOn w:val="39"/>
    <w:link w:val="37"/>
    <w:qFormat/>
    <w:uiPriority w:val="0"/>
    <w:rPr>
      <w:rFonts w:ascii="Times New Roman" w:hAnsi="Times New Roman"/>
      <w:b/>
      <w:i w:val="0"/>
      <w:sz w:val="18"/>
      <w:szCs w:val="18"/>
    </w:rPr>
  </w:style>
  <w:style w:type="paragraph" w:customStyle="1" w:styleId="41">
    <w:name w:val="RAN4 observation"/>
    <w:basedOn w:val="31"/>
    <w:next w:val="1"/>
    <w:link w:val="42"/>
    <w:qFormat/>
    <w:uiPriority w:val="0"/>
    <w:pPr>
      <w:ind w:left="0" w:firstLine="0"/>
    </w:pPr>
    <w:rPr>
      <w:sz w:val="22"/>
    </w:rPr>
  </w:style>
  <w:style w:type="character" w:customStyle="1" w:styleId="42">
    <w:name w:val="RAN4 observation Char"/>
    <w:basedOn w:val="35"/>
    <w:link w:val="41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43">
    <w:name w:val="Unresolved Mention"/>
    <w:basedOn w:val="19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4">
    <w:name w:val="Heading 4 Char"/>
    <w:basedOn w:val="19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0"/>
    </w:rPr>
  </w:style>
  <w:style w:type="character" w:customStyle="1" w:styleId="45">
    <w:name w:val="Doc-text2 Char"/>
    <w:link w:val="46"/>
    <w:qFormat/>
    <w:locked/>
    <w:uiPriority w:val="0"/>
    <w:rPr>
      <w:rFonts w:ascii="Arial" w:hAnsi="Arial" w:eastAsia="Times New Roman" w:cs="Arial"/>
      <w:lang w:val="zh-CN" w:eastAsia="zh-CN"/>
    </w:rPr>
  </w:style>
  <w:style w:type="paragraph" w:customStyle="1" w:styleId="46">
    <w:name w:val="Doc-text2"/>
    <w:basedOn w:val="1"/>
    <w:link w:val="45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hAnsi="Arial" w:eastAsia="Times New Roman" w:cs="Arial"/>
      <w:sz w:val="22"/>
      <w:lang w:val="zh-CN" w:eastAsia="zh-CN"/>
    </w:rPr>
  </w:style>
  <w:style w:type="character" w:customStyle="1" w:styleId="47">
    <w:name w:val="Body Text Char"/>
    <w:basedOn w:val="19"/>
    <w:link w:val="10"/>
    <w:semiHidden/>
    <w:qFormat/>
    <w:uiPriority w:val="0"/>
    <w:rPr>
      <w:rFonts w:ascii="Arial" w:hAnsi="Arial"/>
      <w:lang w:val="da-DK" w:eastAsia="zh-CN"/>
    </w:rPr>
  </w:style>
  <w:style w:type="paragraph" w:customStyle="1" w:styleId="48">
    <w:name w:val="Agreement"/>
    <w:basedOn w:val="1"/>
    <w:next w:val="46"/>
    <w:qFormat/>
    <w:uiPriority w:val="0"/>
    <w:pPr>
      <w:numPr>
        <w:ilvl w:val="0"/>
        <w:numId w:val="4"/>
      </w:numPr>
      <w:spacing w:before="6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paragraph" w:customStyle="1" w:styleId="49">
    <w:name w:val="TAL"/>
    <w:basedOn w:val="1"/>
    <w:link w:val="50"/>
    <w:qFormat/>
    <w:uiPriority w:val="0"/>
    <w:pPr>
      <w:keepNext/>
      <w:keepLines/>
      <w:spacing w:after="0" w:line="240" w:lineRule="auto"/>
    </w:pPr>
    <w:rPr>
      <w:rFonts w:ascii="Arial" w:hAnsi="Arial" w:eastAsia="Times New Roman" w:cs="Times New Roman"/>
      <w:sz w:val="18"/>
      <w:szCs w:val="20"/>
      <w:lang w:val="en-GB"/>
    </w:rPr>
  </w:style>
  <w:style w:type="character" w:customStyle="1" w:styleId="50">
    <w:name w:val="TAL Char"/>
    <w:link w:val="49"/>
    <w:qFormat/>
    <w:locked/>
    <w:uiPriority w:val="0"/>
    <w:rPr>
      <w:rFonts w:ascii="Arial" w:hAnsi="Arial" w:eastAsia="Times New Roman" w:cs="Times New Roman"/>
      <w:sz w:val="18"/>
      <w:szCs w:val="20"/>
      <w:lang w:val="en-GB"/>
    </w:rPr>
  </w:style>
  <w:style w:type="paragraph" w:customStyle="1" w:styleId="51">
    <w:name w:val="B2"/>
    <w:basedOn w:val="11"/>
    <w:qFormat/>
    <w:uiPriority w:val="99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52">
    <w:name w:val="EmailDiscussion"/>
    <w:basedOn w:val="1"/>
    <w:next w:val="1"/>
    <w:link w:val="53"/>
    <w:qFormat/>
    <w:uiPriority w:val="0"/>
    <w:pPr>
      <w:numPr>
        <w:ilvl w:val="0"/>
        <w:numId w:val="5"/>
      </w:numPr>
      <w:spacing w:before="4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character" w:customStyle="1" w:styleId="53">
    <w:name w:val="EmailDiscussion Char"/>
    <w:link w:val="52"/>
    <w:qFormat/>
    <w:uiPriority w:val="0"/>
    <w:rPr>
      <w:rFonts w:ascii="Arial" w:hAnsi="Arial" w:eastAsia="MS Mincho" w:cs="Times New Roman"/>
      <w:b/>
      <w:sz w:val="20"/>
      <w:szCs w:val="24"/>
      <w:lang w:val="en-GB" w:eastAsia="en-GB"/>
    </w:rPr>
  </w:style>
  <w:style w:type="character" w:customStyle="1" w:styleId="54">
    <w:name w:val="Header Char"/>
    <w:basedOn w:val="19"/>
    <w:link w:val="14"/>
    <w:semiHidden/>
    <w:qFormat/>
    <w:locked/>
    <w:uiPriority w:val="0"/>
    <w:rPr>
      <w:rFonts w:ascii="Tms Rmn" w:hAnsi="Tms Rmn"/>
      <w:b/>
      <w:sz w:val="18"/>
    </w:rPr>
  </w:style>
  <w:style w:type="character" w:customStyle="1" w:styleId="55">
    <w:name w:val="Header Char1"/>
    <w:basedOn w:val="19"/>
    <w:semiHidden/>
    <w:qFormat/>
    <w:uiPriority w:val="99"/>
    <w:rPr>
      <w:rFonts w:ascii="Times New Roman" w:hAnsi="Times New Roman"/>
      <w:sz w:val="20"/>
    </w:rPr>
  </w:style>
  <w:style w:type="character" w:customStyle="1" w:styleId="56">
    <w:name w:val="Balloon Text Char"/>
    <w:basedOn w:val="19"/>
    <w:link w:val="13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57">
    <w:name w:val="CR Cover Page Zchn"/>
    <w:link w:val="58"/>
    <w:qFormat/>
    <w:locked/>
    <w:uiPriority w:val="0"/>
    <w:rPr>
      <w:rFonts w:ascii="Arial" w:hAnsi="Arial" w:cs="Arial"/>
      <w:lang w:val="en-GB"/>
    </w:rPr>
  </w:style>
  <w:style w:type="paragraph" w:customStyle="1" w:styleId="58">
    <w:name w:val="CR Cover Page"/>
    <w:link w:val="57"/>
    <w:qFormat/>
    <w:uiPriority w:val="0"/>
    <w:pPr>
      <w:spacing w:after="120" w:line="240" w:lineRule="auto"/>
    </w:pPr>
    <w:rPr>
      <w:rFonts w:ascii="Arial" w:hAnsi="Arial" w:cs="Arial" w:eastAsiaTheme="minorHAnsi"/>
      <w:sz w:val="22"/>
      <w:szCs w:val="22"/>
      <w:lang w:val="en-GB" w:eastAsia="en-US" w:bidi="ar-SA"/>
    </w:rPr>
  </w:style>
  <w:style w:type="character" w:customStyle="1" w:styleId="59">
    <w:name w:val="Comment Text Char"/>
    <w:basedOn w:val="19"/>
    <w:link w:val="8"/>
    <w:semiHidden/>
    <w:qFormat/>
    <w:uiPriority w:val="99"/>
    <w:rPr>
      <w:rFonts w:ascii="Times New Roman" w:hAnsi="Times New Roman"/>
      <w:sz w:val="20"/>
      <w:szCs w:val="20"/>
    </w:rPr>
  </w:style>
  <w:style w:type="character" w:customStyle="1" w:styleId="60">
    <w:name w:val="Comment Subject Char"/>
    <w:basedOn w:val="59"/>
    <w:link w:val="7"/>
    <w:semiHidden/>
    <w:qFormat/>
    <w:uiPriority w:val="99"/>
    <w:rPr>
      <w:rFonts w:ascii="Times New Roman" w:hAnsi="Times New Roman"/>
      <w:b/>
      <w:bCs/>
      <w:sz w:val="20"/>
      <w:szCs w:val="20"/>
    </w:rPr>
  </w:style>
  <w:style w:type="paragraph" w:customStyle="1" w:styleId="61">
    <w:name w:val="3GPP Normal Text"/>
    <w:basedOn w:val="10"/>
    <w:link w:val="62"/>
    <w:qFormat/>
    <w:uiPriority w:val="0"/>
    <w:pPr>
      <w:spacing w:line="240" w:lineRule="auto"/>
      <w:ind w:hanging="22"/>
    </w:pPr>
    <w:rPr>
      <w:rFonts w:ascii="Times New Roman" w:hAnsi="Times New Roman" w:eastAsia="MS Mincho" w:cs="Arial"/>
      <w:sz w:val="20"/>
      <w:szCs w:val="24"/>
      <w:lang w:val="en-US" w:eastAsia="en-US"/>
    </w:rPr>
  </w:style>
  <w:style w:type="character" w:customStyle="1" w:styleId="62">
    <w:name w:val="3GPP Normal Text Char"/>
    <w:link w:val="61"/>
    <w:qFormat/>
    <w:uiPriority w:val="0"/>
    <w:rPr>
      <w:rFonts w:ascii="Times New Roman" w:hAnsi="Times New Roman" w:eastAsia="MS Mincho" w:cs="Arial"/>
      <w:sz w:val="20"/>
      <w:szCs w:val="24"/>
    </w:rPr>
  </w:style>
  <w:style w:type="paragraph" w:customStyle="1" w:styleId="63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val="en-US" w:eastAsia="en-US" w:bidi="ar-SA"/>
    </w:r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  <w:rPr>
      <w:lang w:eastAsia="zh-CN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67">
    <w:name w:val="B1"/>
    <w:basedOn w:val="12"/>
    <w:qFormat/>
    <w:uiPriority w:val="0"/>
  </w:style>
  <w:style w:type="paragraph" w:customStyle="1" w:styleId="68">
    <w:name w:val="TAH"/>
    <w:basedOn w:val="69"/>
    <w:qFormat/>
    <w:uiPriority w:val="0"/>
    <w:rPr>
      <w:b/>
    </w:rPr>
  </w:style>
  <w:style w:type="paragraph" w:customStyle="1" w:styleId="69">
    <w:name w:val="TAC"/>
    <w:basedOn w:val="49"/>
    <w:qFormat/>
    <w:uiPriority w:val="0"/>
    <w:pPr>
      <w:jc w:val="center"/>
    </w:pPr>
  </w:style>
  <w:style w:type="paragraph" w:customStyle="1" w:styleId="7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7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D117E1-8C1C-466A-8D7F-EAF64C1488C0}">
  <ds:schemaRefs/>
</ds:datastoreItem>
</file>

<file path=customXml/itemProps3.xml><?xml version="1.0" encoding="utf-8"?>
<ds:datastoreItem xmlns:ds="http://schemas.openxmlformats.org/officeDocument/2006/customXml" ds:itemID="{EAA4E9F1-3478-4E48-ACB7-A0EA7CF8F594}">
  <ds:schemaRefs/>
</ds:datastoreItem>
</file>

<file path=customXml/itemProps4.xml><?xml version="1.0" encoding="utf-8"?>
<ds:datastoreItem xmlns:ds="http://schemas.openxmlformats.org/officeDocument/2006/customXml" ds:itemID="{08DA32A5-C37F-4DB0-94C0-5301A1F35695}">
  <ds:schemaRefs/>
</ds:datastoreItem>
</file>

<file path=customXml/itemProps5.xml><?xml version="1.0" encoding="utf-8"?>
<ds:datastoreItem xmlns:ds="http://schemas.openxmlformats.org/officeDocument/2006/customXml" ds:itemID="{9B5B53C8-48A5-44AD-B897-E90CB0B8E3EC}">
  <ds:schemaRefs/>
</ds:datastoreItem>
</file>

<file path=customXml/itemProps6.xml><?xml version="1.0" encoding="utf-8"?>
<ds:datastoreItem xmlns:ds="http://schemas.openxmlformats.org/officeDocument/2006/customXml" ds:itemID="{E173285D-2887-45E3-A024-3D1E71CC8E74}">
  <ds:schemaRefs/>
</ds:datastoreItem>
</file>

<file path=customXml/itemProps7.xml><?xml version="1.0" encoding="utf-8"?>
<ds:datastoreItem xmlns:ds="http://schemas.openxmlformats.org/officeDocument/2006/customXml" ds:itemID="{E8E32C24-5F96-4713-A70F-A7BA20BB6C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877</Words>
  <Characters>5355</Characters>
  <Lines>44</Lines>
  <Paragraphs>12</Paragraphs>
  <TotalTime>0</TotalTime>
  <ScaleCrop>false</ScaleCrop>
  <LinksUpToDate>false</LinksUpToDate>
  <CharactersWithSpaces>6220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2019-08-16T13:02:00Z</dcterms:created>
  <dc:creator>Nokia</dc:creator>
  <cp:lastModifiedBy>Richie Leo (ZTE)</cp:lastModifiedBy>
  <cp:lastPrinted>2019-04-29T06:52:00Z</cp:lastPrinted>
  <dcterms:modified xsi:type="dcterms:W3CDTF">2020-02-10T11:03:25Z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2052-10.8.2.7027</vt:lpwstr>
  </property>
</Properties>
</file>